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C594C" w14:textId="77777777" w:rsidR="00036E51" w:rsidRPr="0014794A" w:rsidRDefault="00036E51" w:rsidP="00036E51">
      <w:pPr>
        <w:jc w:val="center"/>
        <w:rPr>
          <w:rFonts w:ascii="Arial" w:hAnsi="Arial" w:cs="Arial"/>
          <w:b/>
        </w:rPr>
      </w:pPr>
      <w:r>
        <w:rPr>
          <w:rFonts w:ascii="Arial" w:hAnsi="Arial" w:cs="Arial"/>
          <w:b/>
        </w:rPr>
        <w:t>Quarterly Olmstead Community Integration Summary</w:t>
      </w:r>
    </w:p>
    <w:p w14:paraId="22BA7262" w14:textId="77777777" w:rsidR="00036E51" w:rsidRPr="0014794A" w:rsidRDefault="00036E51" w:rsidP="00036E51">
      <w:pPr>
        <w:jc w:val="center"/>
        <w:rPr>
          <w:rFonts w:ascii="Arial" w:hAnsi="Arial" w:cs="Arial"/>
          <w:b/>
        </w:rPr>
      </w:pPr>
    </w:p>
    <w:p w14:paraId="65C2CECC" w14:textId="77777777" w:rsidR="00036E51" w:rsidRPr="0014794A" w:rsidRDefault="00036E51" w:rsidP="00036E51">
      <w:pPr>
        <w:numPr>
          <w:ilvl w:val="0"/>
          <w:numId w:val="1"/>
        </w:numPr>
        <w:rPr>
          <w:rFonts w:ascii="Arial" w:hAnsi="Arial" w:cs="Arial"/>
          <w:b/>
        </w:rPr>
      </w:pPr>
      <w:r w:rsidRPr="0014794A">
        <w:rPr>
          <w:rFonts w:ascii="Arial" w:hAnsi="Arial" w:cs="Arial"/>
          <w:b/>
        </w:rPr>
        <w:t xml:space="preserve">Report For:  </w:t>
      </w:r>
      <w:r w:rsidR="002B4E97">
        <w:rPr>
          <w:rFonts w:ascii="Arial" w:hAnsi="Arial" w:cs="Arial"/>
          <w:b/>
        </w:rPr>
        <w:t>1st</w:t>
      </w:r>
      <w:r>
        <w:rPr>
          <w:rFonts w:ascii="Arial" w:hAnsi="Arial" w:cs="Arial"/>
          <w:b/>
        </w:rPr>
        <w:t xml:space="preserve"> </w:t>
      </w:r>
      <w:r w:rsidR="007B4549">
        <w:rPr>
          <w:rFonts w:ascii="Arial" w:hAnsi="Arial" w:cs="Arial"/>
        </w:rPr>
        <w:t>Quarter 2016</w:t>
      </w:r>
    </w:p>
    <w:p w14:paraId="7D8466F6" w14:textId="77777777" w:rsidR="00036E51" w:rsidRPr="0014794A" w:rsidRDefault="00036E51" w:rsidP="00036E51">
      <w:pPr>
        <w:numPr>
          <w:ilvl w:val="0"/>
          <w:numId w:val="1"/>
        </w:numPr>
        <w:rPr>
          <w:rFonts w:ascii="Arial" w:hAnsi="Arial" w:cs="Arial"/>
          <w:b/>
        </w:rPr>
      </w:pPr>
      <w:r w:rsidRPr="0014794A">
        <w:rPr>
          <w:rFonts w:ascii="Arial" w:hAnsi="Arial" w:cs="Arial"/>
          <w:b/>
        </w:rPr>
        <w:t xml:space="preserve">Prepared By:  </w:t>
      </w:r>
      <w:r w:rsidR="002B4E97">
        <w:rPr>
          <w:rFonts w:ascii="Arial" w:hAnsi="Arial" w:cs="Arial"/>
          <w:b/>
        </w:rPr>
        <w:t>DCOA</w:t>
      </w:r>
    </w:p>
    <w:p w14:paraId="5B6ED910" w14:textId="77777777" w:rsidR="00036E51" w:rsidRDefault="00036E51" w:rsidP="00036E51">
      <w:pPr>
        <w:numPr>
          <w:ilvl w:val="0"/>
          <w:numId w:val="1"/>
        </w:numPr>
        <w:rPr>
          <w:rFonts w:ascii="Arial" w:hAnsi="Arial" w:cs="Arial"/>
          <w:b/>
        </w:rPr>
      </w:pPr>
      <w:r w:rsidRPr="0014794A">
        <w:rPr>
          <w:rFonts w:ascii="Arial" w:hAnsi="Arial" w:cs="Arial"/>
          <w:b/>
        </w:rPr>
        <w:t xml:space="preserve">Date Submitted:  </w:t>
      </w:r>
      <w:r w:rsidR="00AC43AB">
        <w:rPr>
          <w:rFonts w:ascii="Arial" w:hAnsi="Arial" w:cs="Arial"/>
          <w:b/>
        </w:rPr>
        <w:t>May 1</w:t>
      </w:r>
      <w:r w:rsidR="002B4E97">
        <w:rPr>
          <w:rFonts w:ascii="Arial" w:hAnsi="Arial" w:cs="Arial"/>
          <w:b/>
        </w:rPr>
        <w:t>, 2016</w:t>
      </w:r>
    </w:p>
    <w:p w14:paraId="468A11A8" w14:textId="77777777" w:rsidR="00036E51" w:rsidRPr="0014794A" w:rsidRDefault="00036E51" w:rsidP="00036E51">
      <w:pPr>
        <w:tabs>
          <w:tab w:val="left" w:pos="8160"/>
        </w:tabs>
        <w:ind w:left="270"/>
        <w:rPr>
          <w:rFonts w:ascii="Arial" w:hAnsi="Arial" w:cs="Arial"/>
        </w:rPr>
      </w:pPr>
      <w:r>
        <w:rPr>
          <w:rFonts w:ascii="Arial" w:hAnsi="Arial" w:cs="Arial"/>
        </w:rPr>
        <w:tab/>
      </w: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360"/>
      </w:tblGrid>
      <w:tr w:rsidR="00036E51" w:rsidRPr="0014794A" w14:paraId="4C9CB547" w14:textId="77777777" w:rsidTr="00425505">
        <w:tc>
          <w:tcPr>
            <w:tcW w:w="2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D42183" w14:textId="77777777" w:rsidR="00036E51" w:rsidRPr="0014794A" w:rsidRDefault="00036E51" w:rsidP="00AC43AB">
            <w:pPr>
              <w:tabs>
                <w:tab w:val="left" w:pos="2520"/>
              </w:tabs>
              <w:jc w:val="center"/>
              <w:rPr>
                <w:rFonts w:ascii="Arial" w:hAnsi="Arial" w:cs="Arial"/>
                <w:b/>
                <w:lang w:val="en"/>
              </w:rPr>
            </w:pPr>
            <w:r w:rsidRPr="0014794A">
              <w:rPr>
                <w:rFonts w:ascii="Arial" w:hAnsi="Arial" w:cs="Arial"/>
                <w:b/>
                <w:lang w:val="en"/>
              </w:rPr>
              <w:t>Community Integration (Olmstead Plan)</w:t>
            </w:r>
          </w:p>
          <w:p w14:paraId="1A16835F" w14:textId="77777777" w:rsidR="00036E51" w:rsidRPr="0014794A" w:rsidRDefault="00036E51" w:rsidP="00AC43AB">
            <w:pPr>
              <w:tabs>
                <w:tab w:val="left" w:pos="2520"/>
              </w:tabs>
              <w:jc w:val="center"/>
              <w:rPr>
                <w:rFonts w:ascii="Arial" w:hAnsi="Arial" w:cs="Arial"/>
                <w:b/>
                <w:lang w:val="en"/>
              </w:rPr>
            </w:pPr>
            <w:r w:rsidRPr="0014794A">
              <w:rPr>
                <w:rFonts w:ascii="Arial" w:hAnsi="Arial" w:cs="Arial"/>
                <w:b/>
                <w:lang w:val="en"/>
              </w:rPr>
              <w:t>Coordinator</w:t>
            </w:r>
          </w:p>
        </w:tc>
        <w:tc>
          <w:tcPr>
            <w:tcW w:w="3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BA92C0" w14:textId="77777777" w:rsidR="00036E51" w:rsidRPr="0014794A" w:rsidRDefault="00036E51" w:rsidP="00AC43AB">
            <w:pPr>
              <w:tabs>
                <w:tab w:val="left" w:pos="2520"/>
              </w:tabs>
              <w:jc w:val="center"/>
              <w:rPr>
                <w:rFonts w:ascii="Arial" w:hAnsi="Arial" w:cs="Arial"/>
                <w:b/>
                <w:lang w:val="en"/>
              </w:rPr>
            </w:pPr>
            <w:r w:rsidRPr="0014794A">
              <w:rPr>
                <w:rFonts w:ascii="Arial" w:hAnsi="Arial" w:cs="Arial"/>
                <w:b/>
                <w:lang w:val="en"/>
              </w:rPr>
              <w:t>Agency Leadership</w:t>
            </w:r>
          </w:p>
        </w:tc>
      </w:tr>
      <w:tr w:rsidR="00036E51" w:rsidRPr="0014794A" w14:paraId="05F6CD13" w14:textId="77777777" w:rsidTr="00425505">
        <w:tc>
          <w:tcPr>
            <w:tcW w:w="2400" w:type="dxa"/>
            <w:tcBorders>
              <w:top w:val="single" w:sz="4" w:space="0" w:color="auto"/>
              <w:left w:val="single" w:sz="4" w:space="0" w:color="auto"/>
              <w:bottom w:val="single" w:sz="4" w:space="0" w:color="auto"/>
              <w:right w:val="single" w:sz="4" w:space="0" w:color="auto"/>
            </w:tcBorders>
            <w:vAlign w:val="center"/>
            <w:hideMark/>
          </w:tcPr>
          <w:p w14:paraId="32E3436E" w14:textId="77777777" w:rsidR="00036E51" w:rsidRPr="0014794A" w:rsidRDefault="007B4549" w:rsidP="00AC43AB">
            <w:pPr>
              <w:tabs>
                <w:tab w:val="left" w:pos="2520"/>
              </w:tabs>
              <w:jc w:val="center"/>
              <w:rPr>
                <w:rFonts w:ascii="Arial" w:hAnsi="Arial" w:cs="Arial"/>
                <w:lang w:val="en"/>
              </w:rPr>
            </w:pPr>
            <w:r>
              <w:rPr>
                <w:rFonts w:ascii="Arial" w:hAnsi="Arial" w:cs="Arial"/>
                <w:lang w:val="en"/>
              </w:rPr>
              <w:t>Olmstead Coordinator</w:t>
            </w:r>
          </w:p>
        </w:tc>
        <w:tc>
          <w:tcPr>
            <w:tcW w:w="3360" w:type="dxa"/>
            <w:tcBorders>
              <w:top w:val="single" w:sz="4" w:space="0" w:color="auto"/>
              <w:left w:val="single" w:sz="4" w:space="0" w:color="auto"/>
              <w:bottom w:val="single" w:sz="4" w:space="0" w:color="auto"/>
              <w:right w:val="single" w:sz="4" w:space="0" w:color="auto"/>
            </w:tcBorders>
            <w:vAlign w:val="center"/>
            <w:hideMark/>
          </w:tcPr>
          <w:p w14:paraId="539E963F" w14:textId="77777777" w:rsidR="00036E51" w:rsidRPr="0014794A" w:rsidRDefault="00AC43AB" w:rsidP="00AC43AB">
            <w:pPr>
              <w:tabs>
                <w:tab w:val="left" w:pos="2520"/>
              </w:tabs>
              <w:jc w:val="center"/>
              <w:rPr>
                <w:rFonts w:ascii="Arial" w:hAnsi="Arial" w:cs="Arial"/>
                <w:lang w:val="en"/>
              </w:rPr>
            </w:pPr>
            <w:r>
              <w:rPr>
                <w:rFonts w:ascii="Arial" w:hAnsi="Arial" w:cs="Arial"/>
                <w:lang w:val="en"/>
              </w:rPr>
              <w:t>Sara Tribe</w:t>
            </w:r>
          </w:p>
        </w:tc>
      </w:tr>
    </w:tbl>
    <w:p w14:paraId="682611BD" w14:textId="77777777" w:rsidR="00804BE0" w:rsidRDefault="00804BE0" w:rsidP="00810603">
      <w:pPr>
        <w:jc w:val="center"/>
        <w:rPr>
          <w:rFonts w:ascii="Arial" w:hAnsi="Arial" w:cs="Arial"/>
        </w:rPr>
      </w:pPr>
    </w:p>
    <w:p w14:paraId="17837693" w14:textId="77777777" w:rsidR="00425505" w:rsidRDefault="00425505" w:rsidP="00810603">
      <w:pPr>
        <w:jc w:val="center"/>
        <w:rPr>
          <w:rFonts w:ascii="Arial" w:hAnsi="Arial" w:cs="Arial"/>
        </w:rPr>
      </w:pPr>
    </w:p>
    <w:p w14:paraId="2968A2FF" w14:textId="77777777" w:rsidR="00425505" w:rsidRDefault="00425505" w:rsidP="00810603">
      <w:pPr>
        <w:jc w:val="center"/>
        <w:rPr>
          <w:rFonts w:ascii="Arial" w:hAnsi="Arial" w:cs="Arial"/>
        </w:rPr>
      </w:pPr>
    </w:p>
    <w:p w14:paraId="2E41CFF4" w14:textId="77777777" w:rsidR="00804BE0" w:rsidRDefault="00804BE0" w:rsidP="00804BE0">
      <w:pPr>
        <w:rPr>
          <w:rFonts w:ascii="Arial" w:hAnsi="Arial" w:cs="Arial"/>
        </w:rPr>
      </w:pPr>
      <w:r>
        <w:rPr>
          <w:rFonts w:ascii="Arial" w:hAnsi="Arial" w:cs="Arial"/>
        </w:rPr>
        <w:t>.</w:t>
      </w:r>
    </w:p>
    <w:p w14:paraId="2DD389C6" w14:textId="77777777" w:rsidR="00425505" w:rsidRDefault="00425505" w:rsidP="00804BE0">
      <w:pPr>
        <w:rPr>
          <w:rFonts w:ascii="Arial" w:hAnsi="Arial" w:cs="Arial"/>
        </w:rPr>
      </w:pPr>
    </w:p>
    <w:tbl>
      <w:tblPr>
        <w:tblW w:w="15138"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4"/>
        <w:gridCol w:w="1683"/>
        <w:gridCol w:w="1245"/>
        <w:gridCol w:w="978"/>
        <w:gridCol w:w="1396"/>
        <w:gridCol w:w="1160"/>
        <w:gridCol w:w="1047"/>
        <w:gridCol w:w="1145"/>
        <w:gridCol w:w="1131"/>
        <w:gridCol w:w="894"/>
        <w:gridCol w:w="1078"/>
        <w:gridCol w:w="1237"/>
      </w:tblGrid>
      <w:tr w:rsidR="002B0198" w14:paraId="46A5F363" w14:textId="77777777" w:rsidTr="00ED4E92">
        <w:trPr>
          <w:cantSplit/>
          <w:trHeight w:val="1763"/>
        </w:trPr>
        <w:tc>
          <w:tcPr>
            <w:tcW w:w="2144" w:type="dxa"/>
            <w:shd w:val="clear" w:color="auto" w:fill="808080" w:themeFill="background1" w:themeFillShade="80"/>
            <w:tcMar>
              <w:top w:w="0" w:type="dxa"/>
              <w:left w:w="108" w:type="dxa"/>
              <w:bottom w:w="0" w:type="dxa"/>
              <w:right w:w="108" w:type="dxa"/>
            </w:tcMar>
            <w:vAlign w:val="center"/>
            <w:hideMark/>
          </w:tcPr>
          <w:p w14:paraId="27594B5F" w14:textId="77777777" w:rsidR="003B474A" w:rsidRDefault="003B474A" w:rsidP="00AC43AB">
            <w:pPr>
              <w:jc w:val="center"/>
              <w:rPr>
                <w:rFonts w:ascii="Arial" w:eastAsiaTheme="minorHAnsi" w:hAnsi="Arial" w:cs="Arial"/>
                <w:b/>
                <w:bCs/>
                <w:caps/>
                <w:color w:val="000000"/>
              </w:rPr>
            </w:pPr>
            <w:r>
              <w:rPr>
                <w:rFonts w:ascii="Arial" w:hAnsi="Arial" w:cs="Arial"/>
                <w:b/>
                <w:bCs/>
                <w:caps/>
                <w:color w:val="000000"/>
              </w:rPr>
              <w:t>Number of PEOPLe to be Moved to Community Services</w:t>
            </w:r>
          </w:p>
          <w:p w14:paraId="27AD3835" w14:textId="77777777" w:rsidR="003B474A" w:rsidRDefault="003B474A" w:rsidP="00AC43AB">
            <w:pPr>
              <w:jc w:val="center"/>
              <w:rPr>
                <w:rFonts w:ascii="Arial" w:eastAsiaTheme="minorHAnsi" w:hAnsi="Arial" w:cs="Arial"/>
                <w:b/>
                <w:bCs/>
                <w:color w:val="FF0000"/>
                <w:sz w:val="22"/>
                <w:szCs w:val="22"/>
              </w:rPr>
            </w:pPr>
            <w:r>
              <w:rPr>
                <w:rFonts w:ascii="Arial" w:hAnsi="Arial" w:cs="Arial"/>
                <w:b/>
                <w:bCs/>
                <w:caps/>
                <w:color w:val="FF0000"/>
              </w:rPr>
              <w:t>GOAL</w:t>
            </w:r>
          </w:p>
        </w:tc>
        <w:tc>
          <w:tcPr>
            <w:tcW w:w="1683" w:type="dxa"/>
            <w:shd w:val="clear" w:color="auto" w:fill="808080" w:themeFill="background1" w:themeFillShade="80"/>
            <w:tcMar>
              <w:top w:w="0" w:type="dxa"/>
              <w:left w:w="108" w:type="dxa"/>
              <w:bottom w:w="0" w:type="dxa"/>
              <w:right w:w="108" w:type="dxa"/>
            </w:tcMar>
            <w:vAlign w:val="center"/>
            <w:hideMark/>
          </w:tcPr>
          <w:p w14:paraId="3B5201AD" w14:textId="77777777" w:rsidR="003B474A" w:rsidRDefault="003B474A" w:rsidP="00AC43AB">
            <w:pPr>
              <w:jc w:val="center"/>
              <w:rPr>
                <w:rFonts w:ascii="Arial" w:eastAsiaTheme="minorHAnsi" w:hAnsi="Arial" w:cs="Arial"/>
                <w:b/>
                <w:bCs/>
                <w:color w:val="000000"/>
                <w:sz w:val="22"/>
                <w:szCs w:val="22"/>
              </w:rPr>
            </w:pPr>
            <w:r>
              <w:rPr>
                <w:rFonts w:ascii="Arial" w:hAnsi="Arial" w:cs="Arial"/>
                <w:b/>
                <w:bCs/>
                <w:caps/>
                <w:color w:val="000000"/>
              </w:rPr>
              <w:t>Descrip-tion</w:t>
            </w:r>
          </w:p>
        </w:tc>
        <w:tc>
          <w:tcPr>
            <w:tcW w:w="1245" w:type="dxa"/>
            <w:shd w:val="clear" w:color="auto" w:fill="808080" w:themeFill="background1" w:themeFillShade="80"/>
          </w:tcPr>
          <w:p w14:paraId="54171B12" w14:textId="77777777" w:rsidR="003B474A" w:rsidRDefault="003B474A" w:rsidP="00AC43AB">
            <w:pPr>
              <w:jc w:val="center"/>
              <w:rPr>
                <w:rFonts w:ascii="Arial" w:eastAsiaTheme="minorHAnsi" w:hAnsi="Arial" w:cs="Arial"/>
                <w:b/>
                <w:bCs/>
                <w:color w:val="000000"/>
              </w:rPr>
            </w:pPr>
          </w:p>
          <w:p w14:paraId="1576577C" w14:textId="77777777" w:rsidR="003B474A" w:rsidRDefault="003B474A" w:rsidP="00AC43AB">
            <w:pPr>
              <w:jc w:val="center"/>
              <w:rPr>
                <w:rFonts w:ascii="Arial" w:hAnsi="Arial" w:cs="Arial"/>
                <w:b/>
                <w:bCs/>
                <w:color w:val="000000"/>
              </w:rPr>
            </w:pPr>
          </w:p>
          <w:p w14:paraId="7806F0A2" w14:textId="77777777" w:rsidR="003B474A" w:rsidRDefault="003B474A" w:rsidP="00AC43AB">
            <w:pPr>
              <w:jc w:val="center"/>
              <w:rPr>
                <w:rFonts w:ascii="Arial" w:hAnsi="Arial" w:cs="Arial"/>
                <w:b/>
                <w:bCs/>
                <w:color w:val="000000"/>
              </w:rPr>
            </w:pPr>
            <w:r>
              <w:rPr>
                <w:rFonts w:ascii="Arial" w:hAnsi="Arial" w:cs="Arial"/>
                <w:b/>
                <w:bCs/>
                <w:color w:val="000000"/>
              </w:rPr>
              <w:t>CY1</w:t>
            </w:r>
          </w:p>
          <w:p w14:paraId="3D4A66B8" w14:textId="77777777" w:rsidR="003B474A" w:rsidRDefault="003B474A" w:rsidP="00AC43AB">
            <w:pPr>
              <w:jc w:val="center"/>
              <w:rPr>
                <w:rFonts w:ascii="Arial" w:eastAsiaTheme="minorHAnsi" w:hAnsi="Arial" w:cs="Arial"/>
                <w:b/>
                <w:bCs/>
                <w:color w:val="000000"/>
              </w:rPr>
            </w:pPr>
            <w:r>
              <w:rPr>
                <w:rFonts w:ascii="Arial" w:hAnsi="Arial" w:cs="Arial"/>
                <w:b/>
                <w:bCs/>
                <w:color w:val="000000"/>
              </w:rPr>
              <w:t>(Jan-Mar) Progress</w:t>
            </w:r>
          </w:p>
        </w:tc>
        <w:tc>
          <w:tcPr>
            <w:tcW w:w="978" w:type="dxa"/>
            <w:shd w:val="clear" w:color="auto" w:fill="808080" w:themeFill="background1" w:themeFillShade="80"/>
          </w:tcPr>
          <w:p w14:paraId="6A538206" w14:textId="77777777" w:rsidR="003B474A" w:rsidRDefault="003B474A" w:rsidP="00AC43AB">
            <w:pPr>
              <w:jc w:val="center"/>
              <w:rPr>
                <w:rFonts w:ascii="Arial" w:eastAsiaTheme="minorHAnsi" w:hAnsi="Arial" w:cs="Arial"/>
                <w:b/>
                <w:bCs/>
                <w:color w:val="000000"/>
              </w:rPr>
            </w:pPr>
          </w:p>
          <w:p w14:paraId="20B01093" w14:textId="77777777" w:rsidR="003B474A" w:rsidRDefault="003B474A" w:rsidP="00AC43AB">
            <w:pPr>
              <w:jc w:val="center"/>
              <w:rPr>
                <w:rFonts w:ascii="Arial" w:hAnsi="Arial" w:cs="Arial"/>
                <w:b/>
                <w:bCs/>
                <w:color w:val="000000"/>
              </w:rPr>
            </w:pPr>
          </w:p>
          <w:p w14:paraId="1D789C90" w14:textId="77777777" w:rsidR="003B474A" w:rsidRDefault="003B474A" w:rsidP="00AC43AB">
            <w:pPr>
              <w:jc w:val="center"/>
              <w:rPr>
                <w:rFonts w:ascii="Arial" w:eastAsiaTheme="minorHAnsi" w:hAnsi="Arial" w:cs="Arial"/>
                <w:b/>
                <w:bCs/>
                <w:color w:val="000000"/>
              </w:rPr>
            </w:pPr>
            <w:r>
              <w:rPr>
                <w:rFonts w:ascii="Arial" w:hAnsi="Arial" w:cs="Arial"/>
                <w:b/>
                <w:bCs/>
                <w:color w:val="000000"/>
              </w:rPr>
              <w:t>% of Annual Goal CY1</w:t>
            </w:r>
          </w:p>
        </w:tc>
        <w:tc>
          <w:tcPr>
            <w:tcW w:w="1396" w:type="dxa"/>
            <w:shd w:val="clear" w:color="auto" w:fill="808080" w:themeFill="background1" w:themeFillShade="80"/>
            <w:tcMar>
              <w:top w:w="0" w:type="dxa"/>
              <w:left w:w="108" w:type="dxa"/>
              <w:bottom w:w="0" w:type="dxa"/>
              <w:right w:w="108" w:type="dxa"/>
            </w:tcMar>
            <w:vAlign w:val="center"/>
            <w:hideMark/>
          </w:tcPr>
          <w:p w14:paraId="371B0CE4" w14:textId="77777777" w:rsidR="003B474A" w:rsidRDefault="003B474A" w:rsidP="00AC43AB">
            <w:pPr>
              <w:jc w:val="center"/>
              <w:rPr>
                <w:rFonts w:ascii="Arial" w:eastAsiaTheme="minorHAnsi" w:hAnsi="Arial" w:cs="Arial"/>
                <w:b/>
                <w:bCs/>
                <w:color w:val="000000"/>
              </w:rPr>
            </w:pPr>
            <w:r>
              <w:rPr>
                <w:rFonts w:ascii="Arial" w:hAnsi="Arial" w:cs="Arial"/>
                <w:b/>
                <w:bCs/>
                <w:color w:val="000000"/>
              </w:rPr>
              <w:t>CY2</w:t>
            </w:r>
          </w:p>
          <w:p w14:paraId="23CA52BC" w14:textId="77777777" w:rsidR="003B474A" w:rsidRDefault="003B474A" w:rsidP="00AC43AB">
            <w:pPr>
              <w:jc w:val="center"/>
              <w:rPr>
                <w:rFonts w:ascii="Arial" w:hAnsi="Arial" w:cs="Arial"/>
                <w:b/>
                <w:bCs/>
                <w:color w:val="000000"/>
              </w:rPr>
            </w:pPr>
            <w:r>
              <w:rPr>
                <w:rFonts w:ascii="Arial" w:hAnsi="Arial" w:cs="Arial"/>
                <w:b/>
                <w:bCs/>
                <w:color w:val="000000"/>
              </w:rPr>
              <w:t>(Apr-Jun)</w:t>
            </w:r>
          </w:p>
          <w:p w14:paraId="23D4A9D9" w14:textId="77777777" w:rsidR="003B474A" w:rsidRDefault="003B474A" w:rsidP="00AC43AB">
            <w:pPr>
              <w:jc w:val="center"/>
              <w:rPr>
                <w:rFonts w:ascii="Arial" w:eastAsiaTheme="minorHAnsi" w:hAnsi="Arial" w:cs="Arial"/>
                <w:b/>
                <w:bCs/>
                <w:color w:val="000000"/>
                <w:sz w:val="22"/>
                <w:szCs w:val="22"/>
              </w:rPr>
            </w:pPr>
            <w:r>
              <w:rPr>
                <w:rFonts w:ascii="Arial" w:hAnsi="Arial" w:cs="Arial"/>
                <w:b/>
                <w:bCs/>
                <w:color w:val="000000"/>
              </w:rPr>
              <w:t>Prog.</w:t>
            </w:r>
          </w:p>
        </w:tc>
        <w:tc>
          <w:tcPr>
            <w:tcW w:w="1160" w:type="dxa"/>
            <w:shd w:val="clear" w:color="auto" w:fill="808080" w:themeFill="background1" w:themeFillShade="80"/>
            <w:tcMar>
              <w:top w:w="0" w:type="dxa"/>
              <w:left w:w="108" w:type="dxa"/>
              <w:bottom w:w="0" w:type="dxa"/>
              <w:right w:w="108" w:type="dxa"/>
            </w:tcMar>
            <w:vAlign w:val="center"/>
            <w:hideMark/>
          </w:tcPr>
          <w:p w14:paraId="3084C279" w14:textId="77777777" w:rsidR="003B474A" w:rsidRDefault="003B474A" w:rsidP="00AC43AB">
            <w:pPr>
              <w:jc w:val="center"/>
              <w:rPr>
                <w:rFonts w:ascii="Arial" w:hAnsi="Arial" w:cs="Arial"/>
                <w:b/>
                <w:bCs/>
                <w:color w:val="000000"/>
              </w:rPr>
            </w:pPr>
          </w:p>
          <w:p w14:paraId="70257139" w14:textId="77777777" w:rsidR="003B474A" w:rsidRDefault="003B474A" w:rsidP="00AC43AB">
            <w:pPr>
              <w:jc w:val="center"/>
              <w:rPr>
                <w:rFonts w:ascii="Arial" w:eastAsiaTheme="minorHAnsi" w:hAnsi="Arial" w:cs="Arial"/>
                <w:b/>
                <w:bCs/>
                <w:color w:val="000000"/>
                <w:sz w:val="22"/>
                <w:szCs w:val="22"/>
              </w:rPr>
            </w:pPr>
            <w:r>
              <w:rPr>
                <w:rFonts w:ascii="Arial" w:hAnsi="Arial" w:cs="Arial"/>
                <w:b/>
                <w:bCs/>
                <w:color w:val="000000"/>
              </w:rPr>
              <w:t>% of Annual Goal CY2</w:t>
            </w:r>
          </w:p>
        </w:tc>
        <w:tc>
          <w:tcPr>
            <w:tcW w:w="1047" w:type="dxa"/>
            <w:shd w:val="clear" w:color="auto" w:fill="808080" w:themeFill="background1" w:themeFillShade="80"/>
          </w:tcPr>
          <w:p w14:paraId="67758CAB" w14:textId="77777777" w:rsidR="003B474A" w:rsidRDefault="003B474A" w:rsidP="00AC43AB">
            <w:pPr>
              <w:spacing w:line="276" w:lineRule="auto"/>
              <w:jc w:val="center"/>
              <w:rPr>
                <w:rFonts w:ascii="Arial" w:hAnsi="Arial" w:cs="Arial"/>
                <w:b/>
                <w:bCs/>
                <w:color w:val="000000"/>
              </w:rPr>
            </w:pPr>
          </w:p>
          <w:p w14:paraId="23A26ACB" w14:textId="77777777" w:rsidR="003B474A" w:rsidRDefault="003B474A" w:rsidP="00AC43AB">
            <w:pPr>
              <w:spacing w:line="276" w:lineRule="auto"/>
              <w:jc w:val="center"/>
              <w:rPr>
                <w:rFonts w:ascii="Arial" w:hAnsi="Arial" w:cs="Arial"/>
                <w:b/>
                <w:bCs/>
                <w:color w:val="000000"/>
              </w:rPr>
            </w:pPr>
          </w:p>
          <w:p w14:paraId="28E7AC17" w14:textId="77777777" w:rsidR="003B474A" w:rsidRPr="00810603" w:rsidRDefault="003B474A" w:rsidP="00AC43AB">
            <w:pPr>
              <w:spacing w:line="276" w:lineRule="auto"/>
              <w:jc w:val="center"/>
              <w:rPr>
                <w:rFonts w:ascii="Arial" w:hAnsi="Arial" w:cs="Arial"/>
                <w:b/>
                <w:bCs/>
                <w:color w:val="000000"/>
              </w:rPr>
            </w:pPr>
            <w:r>
              <w:rPr>
                <w:rFonts w:ascii="Arial" w:hAnsi="Arial" w:cs="Arial"/>
                <w:b/>
                <w:bCs/>
                <w:color w:val="000000"/>
              </w:rPr>
              <w:t>CY3</w:t>
            </w:r>
          </w:p>
          <w:p w14:paraId="5AC1A6A0" w14:textId="77777777" w:rsidR="003B474A" w:rsidRDefault="003B474A" w:rsidP="00AC43AB">
            <w:pPr>
              <w:spacing w:line="276" w:lineRule="auto"/>
              <w:jc w:val="center"/>
              <w:rPr>
                <w:rFonts w:ascii="Arial" w:hAnsi="Arial" w:cs="Arial"/>
                <w:b/>
                <w:bCs/>
                <w:color w:val="000000"/>
              </w:rPr>
            </w:pPr>
            <w:r>
              <w:rPr>
                <w:rFonts w:ascii="Arial" w:hAnsi="Arial" w:cs="Arial"/>
                <w:b/>
                <w:bCs/>
                <w:color w:val="000000"/>
              </w:rPr>
              <w:t>(Jul-Sep)</w:t>
            </w:r>
          </w:p>
          <w:p w14:paraId="522231C6" w14:textId="77777777" w:rsidR="003B474A" w:rsidRDefault="003B474A" w:rsidP="00AC43AB">
            <w:pPr>
              <w:spacing w:line="276" w:lineRule="auto"/>
              <w:jc w:val="center"/>
              <w:rPr>
                <w:rFonts w:ascii="Arial" w:eastAsiaTheme="minorHAnsi" w:hAnsi="Arial" w:cs="Arial"/>
                <w:b/>
                <w:bCs/>
                <w:color w:val="000000"/>
              </w:rPr>
            </w:pPr>
            <w:r>
              <w:rPr>
                <w:rFonts w:ascii="Arial" w:hAnsi="Arial" w:cs="Arial"/>
                <w:b/>
                <w:bCs/>
                <w:color w:val="000000"/>
              </w:rPr>
              <w:t>Prog.</w:t>
            </w:r>
          </w:p>
        </w:tc>
        <w:tc>
          <w:tcPr>
            <w:tcW w:w="1145" w:type="dxa"/>
            <w:shd w:val="clear" w:color="auto" w:fill="808080" w:themeFill="background1" w:themeFillShade="80"/>
          </w:tcPr>
          <w:p w14:paraId="04DC571E" w14:textId="77777777" w:rsidR="003B474A" w:rsidRDefault="003B474A" w:rsidP="00AC43AB">
            <w:pPr>
              <w:spacing w:line="276" w:lineRule="auto"/>
              <w:jc w:val="center"/>
              <w:rPr>
                <w:rFonts w:ascii="Arial" w:hAnsi="Arial" w:cs="Arial"/>
                <w:b/>
                <w:bCs/>
                <w:color w:val="000000"/>
              </w:rPr>
            </w:pPr>
          </w:p>
          <w:p w14:paraId="1406D9BE" w14:textId="77777777" w:rsidR="003B474A" w:rsidRDefault="003B474A" w:rsidP="00AC43AB">
            <w:pPr>
              <w:spacing w:line="276" w:lineRule="auto"/>
              <w:jc w:val="center"/>
              <w:rPr>
                <w:rFonts w:ascii="Arial" w:hAnsi="Arial" w:cs="Arial"/>
                <w:b/>
                <w:bCs/>
                <w:color w:val="000000"/>
              </w:rPr>
            </w:pPr>
          </w:p>
          <w:p w14:paraId="65DBF835" w14:textId="77777777" w:rsidR="003B474A" w:rsidRDefault="003B474A" w:rsidP="00AC43AB">
            <w:pPr>
              <w:spacing w:line="276" w:lineRule="auto"/>
              <w:jc w:val="center"/>
              <w:rPr>
                <w:rFonts w:ascii="Arial" w:eastAsiaTheme="minorHAnsi" w:hAnsi="Arial" w:cs="Arial"/>
                <w:b/>
                <w:bCs/>
                <w:color w:val="000000"/>
              </w:rPr>
            </w:pPr>
            <w:r>
              <w:rPr>
                <w:rFonts w:ascii="Arial" w:hAnsi="Arial" w:cs="Arial"/>
                <w:b/>
                <w:bCs/>
                <w:color w:val="000000"/>
              </w:rPr>
              <w:t>% of Annual Goal CY3</w:t>
            </w:r>
          </w:p>
        </w:tc>
        <w:tc>
          <w:tcPr>
            <w:tcW w:w="1131" w:type="dxa"/>
            <w:shd w:val="clear" w:color="auto" w:fill="808080" w:themeFill="background1" w:themeFillShade="80"/>
          </w:tcPr>
          <w:p w14:paraId="42CDED35" w14:textId="77777777" w:rsidR="003B474A" w:rsidRDefault="003B474A" w:rsidP="00AC43AB">
            <w:pPr>
              <w:jc w:val="center"/>
              <w:rPr>
                <w:rFonts w:ascii="Arial" w:eastAsiaTheme="minorHAnsi" w:hAnsi="Arial" w:cs="Arial"/>
                <w:b/>
                <w:bCs/>
                <w:color w:val="000000"/>
              </w:rPr>
            </w:pPr>
          </w:p>
          <w:p w14:paraId="7111EFEE" w14:textId="77777777" w:rsidR="003B474A" w:rsidRDefault="003B474A" w:rsidP="00AC43AB">
            <w:pPr>
              <w:jc w:val="center"/>
              <w:rPr>
                <w:rFonts w:ascii="Arial" w:eastAsiaTheme="minorHAnsi" w:hAnsi="Arial" w:cs="Arial"/>
                <w:b/>
                <w:bCs/>
                <w:color w:val="000000"/>
              </w:rPr>
            </w:pPr>
          </w:p>
          <w:p w14:paraId="582E69F5" w14:textId="77777777" w:rsidR="003B474A" w:rsidRDefault="003B474A" w:rsidP="00AC43AB">
            <w:pPr>
              <w:jc w:val="center"/>
              <w:rPr>
                <w:rFonts w:ascii="Arial" w:eastAsiaTheme="minorHAnsi" w:hAnsi="Arial" w:cs="Arial"/>
                <w:b/>
                <w:bCs/>
                <w:color w:val="000000"/>
              </w:rPr>
            </w:pPr>
            <w:r>
              <w:rPr>
                <w:rFonts w:ascii="Arial" w:eastAsiaTheme="minorHAnsi" w:hAnsi="Arial" w:cs="Arial"/>
                <w:b/>
                <w:bCs/>
                <w:color w:val="000000"/>
              </w:rPr>
              <w:t>CY 4</w:t>
            </w:r>
          </w:p>
          <w:p w14:paraId="07A3B672" w14:textId="77777777" w:rsidR="003B474A" w:rsidRDefault="003B474A" w:rsidP="00AC43AB">
            <w:pPr>
              <w:jc w:val="center"/>
              <w:rPr>
                <w:rFonts w:ascii="Arial" w:eastAsiaTheme="minorHAnsi" w:hAnsi="Arial" w:cs="Arial"/>
                <w:b/>
                <w:bCs/>
                <w:color w:val="000000"/>
              </w:rPr>
            </w:pPr>
            <w:r>
              <w:rPr>
                <w:rFonts w:ascii="Arial" w:eastAsiaTheme="minorHAnsi" w:hAnsi="Arial" w:cs="Arial"/>
                <w:b/>
                <w:bCs/>
                <w:color w:val="000000"/>
              </w:rPr>
              <w:t>(Oct- Dec)</w:t>
            </w:r>
          </w:p>
          <w:p w14:paraId="2E9AF01B" w14:textId="77777777" w:rsidR="003B474A" w:rsidRDefault="003B474A" w:rsidP="00AC43AB">
            <w:pPr>
              <w:jc w:val="center"/>
              <w:rPr>
                <w:rFonts w:ascii="Arial" w:eastAsiaTheme="minorHAnsi" w:hAnsi="Arial" w:cs="Arial"/>
                <w:b/>
                <w:bCs/>
                <w:color w:val="000000"/>
              </w:rPr>
            </w:pPr>
            <w:r>
              <w:rPr>
                <w:rFonts w:ascii="Arial" w:eastAsiaTheme="minorHAnsi" w:hAnsi="Arial" w:cs="Arial"/>
                <w:b/>
                <w:bCs/>
                <w:color w:val="000000"/>
              </w:rPr>
              <w:t>Prog.</w:t>
            </w:r>
          </w:p>
        </w:tc>
        <w:tc>
          <w:tcPr>
            <w:tcW w:w="894" w:type="dxa"/>
            <w:shd w:val="clear" w:color="auto" w:fill="808080" w:themeFill="background1" w:themeFillShade="80"/>
          </w:tcPr>
          <w:p w14:paraId="08FA1A99" w14:textId="77777777" w:rsidR="003B474A" w:rsidRDefault="003B474A" w:rsidP="00AC43AB">
            <w:pPr>
              <w:jc w:val="center"/>
              <w:rPr>
                <w:rFonts w:ascii="Arial" w:eastAsiaTheme="minorHAnsi" w:hAnsi="Arial" w:cs="Arial"/>
                <w:b/>
                <w:bCs/>
                <w:color w:val="000000"/>
              </w:rPr>
            </w:pPr>
          </w:p>
          <w:p w14:paraId="7DDB0A70" w14:textId="77777777" w:rsidR="003B474A" w:rsidRDefault="003B474A" w:rsidP="00AC43AB">
            <w:pPr>
              <w:jc w:val="center"/>
              <w:rPr>
                <w:rFonts w:ascii="Arial" w:eastAsiaTheme="minorHAnsi" w:hAnsi="Arial" w:cs="Arial"/>
                <w:b/>
                <w:bCs/>
                <w:color w:val="000000"/>
              </w:rPr>
            </w:pPr>
          </w:p>
          <w:p w14:paraId="572C66FE" w14:textId="77777777" w:rsidR="003B474A" w:rsidRDefault="003B474A" w:rsidP="00AC43AB">
            <w:pPr>
              <w:jc w:val="center"/>
              <w:rPr>
                <w:rFonts w:ascii="Arial" w:eastAsiaTheme="minorHAnsi" w:hAnsi="Arial" w:cs="Arial"/>
                <w:b/>
                <w:bCs/>
                <w:color w:val="000000"/>
              </w:rPr>
            </w:pPr>
            <w:r>
              <w:rPr>
                <w:rFonts w:ascii="Arial" w:eastAsiaTheme="minorHAnsi" w:hAnsi="Arial" w:cs="Arial"/>
                <w:b/>
                <w:bCs/>
                <w:color w:val="000000"/>
              </w:rPr>
              <w:t>% of Annual Goal CY4</w:t>
            </w:r>
          </w:p>
        </w:tc>
        <w:tc>
          <w:tcPr>
            <w:tcW w:w="1078" w:type="dxa"/>
            <w:shd w:val="clear" w:color="auto" w:fill="808080" w:themeFill="background1" w:themeFillShade="80"/>
          </w:tcPr>
          <w:p w14:paraId="5D78054C" w14:textId="77777777" w:rsidR="003B474A" w:rsidRDefault="003B474A" w:rsidP="00AC43AB">
            <w:pPr>
              <w:jc w:val="center"/>
              <w:rPr>
                <w:rFonts w:ascii="Arial" w:eastAsiaTheme="minorHAnsi" w:hAnsi="Arial" w:cs="Arial"/>
                <w:b/>
                <w:bCs/>
                <w:color w:val="000000"/>
              </w:rPr>
            </w:pPr>
          </w:p>
          <w:p w14:paraId="60702B72" w14:textId="77777777" w:rsidR="003B474A" w:rsidRDefault="003B474A" w:rsidP="00AC43AB">
            <w:pPr>
              <w:jc w:val="center"/>
              <w:rPr>
                <w:rFonts w:ascii="Arial" w:hAnsi="Arial" w:cs="Arial"/>
                <w:b/>
                <w:bCs/>
                <w:color w:val="000000"/>
              </w:rPr>
            </w:pPr>
          </w:p>
          <w:p w14:paraId="4A3F9166" w14:textId="77777777" w:rsidR="003B474A" w:rsidRDefault="003B474A" w:rsidP="00AC43AB">
            <w:pPr>
              <w:jc w:val="center"/>
              <w:rPr>
                <w:rFonts w:ascii="Arial" w:hAnsi="Arial" w:cs="Arial"/>
                <w:b/>
                <w:bCs/>
                <w:color w:val="000000"/>
              </w:rPr>
            </w:pPr>
          </w:p>
          <w:p w14:paraId="03B9DFDC" w14:textId="77777777" w:rsidR="003B474A" w:rsidRDefault="003B474A" w:rsidP="00AC43AB">
            <w:pPr>
              <w:jc w:val="center"/>
              <w:rPr>
                <w:rFonts w:ascii="Arial" w:eastAsiaTheme="minorHAnsi" w:hAnsi="Arial" w:cs="Arial"/>
                <w:b/>
                <w:bCs/>
                <w:color w:val="000000"/>
              </w:rPr>
            </w:pPr>
            <w:r>
              <w:rPr>
                <w:rFonts w:ascii="Arial" w:hAnsi="Arial" w:cs="Arial"/>
                <w:b/>
                <w:bCs/>
                <w:color w:val="000000"/>
              </w:rPr>
              <w:t>Total Progress</w:t>
            </w:r>
          </w:p>
        </w:tc>
        <w:tc>
          <w:tcPr>
            <w:tcW w:w="1237" w:type="dxa"/>
            <w:shd w:val="clear" w:color="auto" w:fill="808080" w:themeFill="background1" w:themeFillShade="80"/>
            <w:vAlign w:val="center"/>
          </w:tcPr>
          <w:p w14:paraId="0CCD9A52" w14:textId="77777777" w:rsidR="003B474A" w:rsidRDefault="009141F6" w:rsidP="00AC43AB">
            <w:pPr>
              <w:jc w:val="center"/>
              <w:rPr>
                <w:rFonts w:ascii="Arial" w:eastAsiaTheme="minorHAnsi" w:hAnsi="Arial" w:cs="Arial"/>
                <w:b/>
                <w:bCs/>
                <w:color w:val="FF0000"/>
                <w:sz w:val="22"/>
                <w:szCs w:val="22"/>
              </w:rPr>
            </w:pPr>
            <w:r w:rsidRPr="009141F6">
              <w:rPr>
                <w:rFonts w:ascii="Arial" w:hAnsi="Arial" w:cs="Arial"/>
                <w:b/>
                <w:bCs/>
                <w:caps/>
                <w:color w:val="000000"/>
              </w:rPr>
              <w:t>Total % of Annual Goal</w:t>
            </w:r>
          </w:p>
        </w:tc>
      </w:tr>
      <w:tr w:rsidR="002B0198" w14:paraId="44C38E99" w14:textId="77777777" w:rsidTr="00ED4E92">
        <w:trPr>
          <w:cantSplit/>
          <w:trHeight w:val="1232"/>
        </w:trPr>
        <w:tc>
          <w:tcPr>
            <w:tcW w:w="2144" w:type="dxa"/>
            <w:shd w:val="clear" w:color="auto" w:fill="BFBFBF"/>
            <w:tcMar>
              <w:top w:w="0" w:type="dxa"/>
              <w:left w:w="108" w:type="dxa"/>
              <w:bottom w:w="0" w:type="dxa"/>
              <w:right w:w="108" w:type="dxa"/>
            </w:tcMar>
            <w:vAlign w:val="center"/>
            <w:hideMark/>
          </w:tcPr>
          <w:p w14:paraId="6776EE43" w14:textId="77777777" w:rsidR="003B474A" w:rsidRDefault="002B0198" w:rsidP="002B0198">
            <w:pPr>
              <w:jc w:val="center"/>
              <w:rPr>
                <w:rFonts w:ascii="Arial" w:eastAsiaTheme="minorHAnsi" w:hAnsi="Arial" w:cs="Arial"/>
                <w:b/>
                <w:bCs/>
                <w:color w:val="000000"/>
                <w:sz w:val="22"/>
                <w:szCs w:val="22"/>
              </w:rPr>
            </w:pPr>
            <w:r>
              <w:rPr>
                <w:rFonts w:ascii="Arial" w:eastAsiaTheme="minorHAnsi" w:hAnsi="Arial" w:cs="Arial"/>
                <w:b/>
                <w:bCs/>
                <w:color w:val="000000"/>
                <w:sz w:val="22"/>
                <w:szCs w:val="22"/>
              </w:rPr>
              <w:t>45</w:t>
            </w:r>
          </w:p>
        </w:tc>
        <w:tc>
          <w:tcPr>
            <w:tcW w:w="1683" w:type="dxa"/>
            <w:shd w:val="clear" w:color="auto" w:fill="BFBFBF"/>
            <w:tcMar>
              <w:top w:w="0" w:type="dxa"/>
              <w:left w:w="108" w:type="dxa"/>
              <w:bottom w:w="0" w:type="dxa"/>
              <w:right w:w="108" w:type="dxa"/>
            </w:tcMar>
            <w:vAlign w:val="center"/>
            <w:hideMark/>
          </w:tcPr>
          <w:p w14:paraId="589F5D40" w14:textId="77777777" w:rsidR="003B474A" w:rsidRPr="002455F4" w:rsidRDefault="002B4E97" w:rsidP="002B0198">
            <w:pPr>
              <w:jc w:val="center"/>
              <w:rPr>
                <w:rFonts w:ascii="Arial" w:eastAsiaTheme="minorHAnsi" w:hAnsi="Arial" w:cs="Arial"/>
                <w:b/>
                <w:bCs/>
                <w:color w:val="000000"/>
                <w:sz w:val="22"/>
                <w:szCs w:val="22"/>
              </w:rPr>
            </w:pPr>
            <w:r>
              <w:rPr>
                <w:rFonts w:ascii="Arial" w:eastAsiaTheme="minorHAnsi" w:hAnsi="Arial" w:cs="Arial"/>
                <w:b/>
                <w:bCs/>
                <w:color w:val="000000"/>
                <w:sz w:val="22"/>
                <w:szCs w:val="22"/>
              </w:rPr>
              <w:t>Total transitions</w:t>
            </w:r>
            <w:r w:rsidR="002B0198">
              <w:rPr>
                <w:rFonts w:ascii="Arial" w:eastAsiaTheme="minorHAnsi" w:hAnsi="Arial" w:cs="Arial"/>
                <w:b/>
                <w:bCs/>
                <w:color w:val="000000"/>
                <w:sz w:val="22"/>
                <w:szCs w:val="22"/>
              </w:rPr>
              <w:t xml:space="preserve"> from  institutional </w:t>
            </w:r>
            <w:r w:rsidR="00121410">
              <w:rPr>
                <w:rFonts w:ascii="Arial" w:eastAsiaTheme="minorHAnsi" w:hAnsi="Arial" w:cs="Arial"/>
                <w:b/>
                <w:bCs/>
                <w:color w:val="000000"/>
                <w:sz w:val="22"/>
                <w:szCs w:val="22"/>
              </w:rPr>
              <w:t xml:space="preserve">LTC </w:t>
            </w:r>
            <w:r w:rsidR="002B0198">
              <w:rPr>
                <w:rFonts w:ascii="Arial" w:eastAsiaTheme="minorHAnsi" w:hAnsi="Arial" w:cs="Arial"/>
                <w:b/>
                <w:bCs/>
                <w:color w:val="000000"/>
                <w:sz w:val="22"/>
                <w:szCs w:val="22"/>
              </w:rPr>
              <w:t>settings (following at least 90 days in a NF)</w:t>
            </w:r>
          </w:p>
        </w:tc>
        <w:tc>
          <w:tcPr>
            <w:tcW w:w="1245" w:type="dxa"/>
            <w:shd w:val="clear" w:color="auto" w:fill="BFBFBF"/>
            <w:vAlign w:val="center"/>
            <w:hideMark/>
          </w:tcPr>
          <w:p w14:paraId="74C94314" w14:textId="77777777" w:rsidR="003B474A" w:rsidRDefault="003C0E2C" w:rsidP="00AC43AB">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15</w:t>
            </w:r>
          </w:p>
        </w:tc>
        <w:tc>
          <w:tcPr>
            <w:tcW w:w="978" w:type="dxa"/>
            <w:shd w:val="clear" w:color="auto" w:fill="BFBFBF"/>
            <w:vAlign w:val="center"/>
            <w:hideMark/>
          </w:tcPr>
          <w:p w14:paraId="681F4682" w14:textId="77777777" w:rsidR="003B474A" w:rsidRDefault="003C0E2C" w:rsidP="00AC43AB">
            <w:pPr>
              <w:jc w:val="center"/>
              <w:rPr>
                <w:rFonts w:ascii="Arial" w:eastAsiaTheme="minorHAnsi" w:hAnsi="Arial" w:cs="Arial"/>
                <w:b/>
                <w:bCs/>
                <w:color w:val="000000"/>
                <w:sz w:val="40"/>
                <w:szCs w:val="40"/>
                <w:vertAlign w:val="superscript"/>
              </w:rPr>
            </w:pPr>
            <w:r>
              <w:rPr>
                <w:rFonts w:ascii="Arial" w:hAnsi="Arial" w:cs="Arial"/>
                <w:b/>
                <w:bCs/>
                <w:color w:val="000000"/>
                <w:sz w:val="40"/>
                <w:szCs w:val="40"/>
                <w:vertAlign w:val="superscript"/>
              </w:rPr>
              <w:t>33.3</w:t>
            </w:r>
            <w:r w:rsidR="003B474A">
              <w:rPr>
                <w:rFonts w:ascii="Arial" w:hAnsi="Arial" w:cs="Arial"/>
                <w:b/>
                <w:bCs/>
                <w:color w:val="000000"/>
                <w:sz w:val="40"/>
                <w:szCs w:val="40"/>
                <w:vertAlign w:val="superscript"/>
              </w:rPr>
              <w:t>%</w:t>
            </w:r>
          </w:p>
        </w:tc>
        <w:tc>
          <w:tcPr>
            <w:tcW w:w="1396" w:type="dxa"/>
            <w:shd w:val="clear" w:color="auto" w:fill="BFBFBF"/>
            <w:tcMar>
              <w:top w:w="0" w:type="dxa"/>
              <w:left w:w="108" w:type="dxa"/>
              <w:bottom w:w="0" w:type="dxa"/>
              <w:right w:w="108" w:type="dxa"/>
            </w:tcMar>
            <w:vAlign w:val="center"/>
            <w:hideMark/>
          </w:tcPr>
          <w:p w14:paraId="12E0C6F7" w14:textId="77777777" w:rsidR="003B474A" w:rsidRDefault="007B4549" w:rsidP="00AC43AB">
            <w:pPr>
              <w:jc w:val="center"/>
              <w:rPr>
                <w:rFonts w:ascii="Arial" w:eastAsiaTheme="minorHAnsi" w:hAnsi="Arial" w:cs="Arial"/>
                <w:b/>
                <w:bCs/>
                <w:color w:val="000000"/>
                <w:sz w:val="40"/>
                <w:szCs w:val="40"/>
              </w:rPr>
            </w:pPr>
            <w:r>
              <w:rPr>
                <w:rFonts w:ascii="Arial" w:hAnsi="Arial" w:cs="Arial"/>
                <w:b/>
                <w:bCs/>
                <w:color w:val="000000"/>
                <w:sz w:val="40"/>
                <w:szCs w:val="40"/>
                <w:vertAlign w:val="superscript"/>
              </w:rPr>
              <w:t>___</w:t>
            </w:r>
          </w:p>
        </w:tc>
        <w:tc>
          <w:tcPr>
            <w:tcW w:w="1160" w:type="dxa"/>
            <w:shd w:val="clear" w:color="auto" w:fill="BFBFBF"/>
            <w:tcMar>
              <w:top w:w="0" w:type="dxa"/>
              <w:left w:w="108" w:type="dxa"/>
              <w:bottom w:w="0" w:type="dxa"/>
              <w:right w:w="108" w:type="dxa"/>
            </w:tcMar>
            <w:vAlign w:val="center"/>
            <w:hideMark/>
          </w:tcPr>
          <w:p w14:paraId="543DAE1F" w14:textId="77777777" w:rsidR="003B474A" w:rsidRPr="009568CB" w:rsidRDefault="003B474A" w:rsidP="00AC43AB">
            <w:pPr>
              <w:jc w:val="center"/>
              <w:rPr>
                <w:rFonts w:ascii="Arial" w:eastAsiaTheme="minorHAnsi" w:hAnsi="Arial" w:cs="Arial"/>
                <w:b/>
                <w:bCs/>
                <w:sz w:val="40"/>
                <w:szCs w:val="40"/>
              </w:rPr>
            </w:pPr>
            <w:r w:rsidRPr="009568CB">
              <w:rPr>
                <w:rFonts w:ascii="Arial" w:hAnsi="Arial" w:cs="Arial"/>
                <w:b/>
                <w:bCs/>
                <w:sz w:val="40"/>
                <w:szCs w:val="40"/>
                <w:vertAlign w:val="superscript"/>
              </w:rPr>
              <w:t>%</w:t>
            </w:r>
          </w:p>
        </w:tc>
        <w:tc>
          <w:tcPr>
            <w:tcW w:w="1047" w:type="dxa"/>
            <w:shd w:val="clear" w:color="auto" w:fill="BFBFBF"/>
            <w:vAlign w:val="center"/>
          </w:tcPr>
          <w:p w14:paraId="5D4DC489" w14:textId="77777777" w:rsidR="003B474A" w:rsidRPr="009568CB" w:rsidRDefault="007B4549" w:rsidP="00AC43AB">
            <w:pPr>
              <w:contextualSpacing/>
              <w:jc w:val="center"/>
              <w:rPr>
                <w:rFonts w:ascii="Arial" w:hAnsi="Arial" w:cs="Arial"/>
                <w:b/>
                <w:bCs/>
                <w:sz w:val="40"/>
                <w:szCs w:val="40"/>
                <w:vertAlign w:val="superscript"/>
              </w:rPr>
            </w:pPr>
            <w:r>
              <w:rPr>
                <w:rFonts w:ascii="Arial" w:hAnsi="Arial" w:cs="Arial"/>
                <w:b/>
                <w:bCs/>
                <w:sz w:val="40"/>
                <w:szCs w:val="40"/>
                <w:vertAlign w:val="superscript"/>
              </w:rPr>
              <w:t>___</w:t>
            </w:r>
          </w:p>
        </w:tc>
        <w:tc>
          <w:tcPr>
            <w:tcW w:w="1145" w:type="dxa"/>
            <w:shd w:val="clear" w:color="auto" w:fill="BFBFBF"/>
            <w:vAlign w:val="center"/>
          </w:tcPr>
          <w:p w14:paraId="0B799D7B" w14:textId="77777777" w:rsidR="003B474A" w:rsidRPr="009568CB" w:rsidRDefault="003B474A" w:rsidP="00AC43AB">
            <w:pPr>
              <w:jc w:val="center"/>
              <w:rPr>
                <w:rFonts w:ascii="Arial" w:hAnsi="Arial" w:cs="Arial"/>
                <w:b/>
                <w:bCs/>
                <w:sz w:val="40"/>
                <w:szCs w:val="40"/>
                <w:vertAlign w:val="superscript"/>
              </w:rPr>
            </w:pPr>
            <w:r>
              <w:rPr>
                <w:rFonts w:ascii="Arial" w:hAnsi="Arial" w:cs="Arial"/>
                <w:b/>
                <w:bCs/>
                <w:sz w:val="40"/>
                <w:szCs w:val="40"/>
                <w:vertAlign w:val="superscript"/>
              </w:rPr>
              <w:t>%</w:t>
            </w:r>
          </w:p>
        </w:tc>
        <w:tc>
          <w:tcPr>
            <w:tcW w:w="1131" w:type="dxa"/>
            <w:shd w:val="clear" w:color="auto" w:fill="BFBFBF"/>
            <w:vAlign w:val="center"/>
          </w:tcPr>
          <w:p w14:paraId="539B25C3" w14:textId="77777777" w:rsidR="003B474A" w:rsidRPr="002455F4" w:rsidRDefault="007B4549" w:rsidP="00AC43AB">
            <w:pPr>
              <w:jc w:val="center"/>
              <w:rPr>
                <w:rFonts w:ascii="Arial" w:hAnsi="Arial" w:cs="Arial"/>
                <w:b/>
                <w:bCs/>
                <w:sz w:val="40"/>
                <w:szCs w:val="40"/>
                <w:highlight w:val="yellow"/>
                <w:vertAlign w:val="superscript"/>
              </w:rPr>
            </w:pPr>
            <w:r>
              <w:rPr>
                <w:rFonts w:ascii="Arial" w:hAnsi="Arial" w:cs="Arial"/>
                <w:b/>
                <w:bCs/>
                <w:sz w:val="40"/>
                <w:szCs w:val="40"/>
                <w:vertAlign w:val="superscript"/>
              </w:rPr>
              <w:t>__</w:t>
            </w:r>
          </w:p>
        </w:tc>
        <w:tc>
          <w:tcPr>
            <w:tcW w:w="894" w:type="dxa"/>
            <w:shd w:val="clear" w:color="auto" w:fill="BFBFBF"/>
            <w:vAlign w:val="center"/>
          </w:tcPr>
          <w:p w14:paraId="02049EE2" w14:textId="77777777" w:rsidR="003B474A" w:rsidRPr="002455F4" w:rsidRDefault="003B474A" w:rsidP="00AC43AB">
            <w:pPr>
              <w:jc w:val="center"/>
              <w:rPr>
                <w:rFonts w:ascii="Arial" w:hAnsi="Arial" w:cs="Arial"/>
                <w:b/>
                <w:bCs/>
                <w:sz w:val="40"/>
                <w:szCs w:val="40"/>
                <w:highlight w:val="yellow"/>
                <w:vertAlign w:val="superscript"/>
              </w:rPr>
            </w:pPr>
            <w:r w:rsidRPr="00F442FB">
              <w:rPr>
                <w:rFonts w:ascii="Arial" w:hAnsi="Arial" w:cs="Arial"/>
                <w:b/>
                <w:bCs/>
                <w:sz w:val="40"/>
                <w:szCs w:val="40"/>
                <w:vertAlign w:val="superscript"/>
              </w:rPr>
              <w:t>%</w:t>
            </w:r>
          </w:p>
        </w:tc>
        <w:tc>
          <w:tcPr>
            <w:tcW w:w="1078" w:type="dxa"/>
            <w:shd w:val="clear" w:color="auto" w:fill="BFBFBF"/>
            <w:vAlign w:val="center"/>
          </w:tcPr>
          <w:p w14:paraId="064FECF1" w14:textId="77777777" w:rsidR="003B474A" w:rsidRPr="004D6FC8" w:rsidRDefault="007B4549" w:rsidP="00AC43AB">
            <w:pPr>
              <w:jc w:val="center"/>
              <w:rPr>
                <w:rFonts w:ascii="Arial" w:hAnsi="Arial" w:cs="Arial"/>
                <w:b/>
                <w:bCs/>
                <w:sz w:val="40"/>
                <w:szCs w:val="40"/>
                <w:vertAlign w:val="superscript"/>
              </w:rPr>
            </w:pPr>
            <w:r>
              <w:rPr>
                <w:rFonts w:ascii="Arial" w:hAnsi="Arial" w:cs="Arial"/>
                <w:b/>
                <w:bCs/>
                <w:sz w:val="40"/>
                <w:szCs w:val="40"/>
                <w:vertAlign w:val="superscript"/>
              </w:rPr>
              <w:t>___</w:t>
            </w:r>
          </w:p>
        </w:tc>
        <w:tc>
          <w:tcPr>
            <w:tcW w:w="1237" w:type="dxa"/>
            <w:shd w:val="clear" w:color="auto" w:fill="BFBFBF"/>
            <w:vAlign w:val="center"/>
          </w:tcPr>
          <w:p w14:paraId="43418CCE" w14:textId="77777777" w:rsidR="003B474A" w:rsidRDefault="009141F6" w:rsidP="00AC43AB">
            <w:pPr>
              <w:jc w:val="center"/>
              <w:rPr>
                <w:rFonts w:ascii="Arial" w:eastAsiaTheme="minorHAnsi" w:hAnsi="Arial" w:cs="Arial"/>
                <w:b/>
                <w:bCs/>
                <w:color w:val="000000"/>
                <w:sz w:val="22"/>
                <w:szCs w:val="22"/>
              </w:rPr>
            </w:pPr>
            <w:r>
              <w:rPr>
                <w:rFonts w:ascii="Arial" w:hAnsi="Arial" w:cs="Arial"/>
                <w:b/>
                <w:bCs/>
                <w:color w:val="000000"/>
                <w:sz w:val="40"/>
                <w:szCs w:val="40"/>
                <w:vertAlign w:val="superscript"/>
              </w:rPr>
              <w:t>%</w:t>
            </w:r>
          </w:p>
        </w:tc>
      </w:tr>
      <w:tr w:rsidR="002B0198" w14:paraId="1185E555" w14:textId="77777777" w:rsidTr="00ED4E92">
        <w:trPr>
          <w:cantSplit/>
          <w:trHeight w:val="1637"/>
        </w:trPr>
        <w:tc>
          <w:tcPr>
            <w:tcW w:w="2144" w:type="dxa"/>
            <w:shd w:val="clear" w:color="auto" w:fill="BFBFBF"/>
            <w:tcMar>
              <w:top w:w="0" w:type="dxa"/>
              <w:left w:w="108" w:type="dxa"/>
              <w:bottom w:w="0" w:type="dxa"/>
              <w:right w:w="108" w:type="dxa"/>
            </w:tcMar>
            <w:vAlign w:val="center"/>
          </w:tcPr>
          <w:p w14:paraId="1D4250FC" w14:textId="77777777" w:rsidR="007B4549" w:rsidRPr="00232EDC" w:rsidRDefault="002B4E97" w:rsidP="002B0198">
            <w:pPr>
              <w:jc w:val="center"/>
              <w:rPr>
                <w:rFonts w:ascii="Arial" w:eastAsiaTheme="minorHAnsi" w:hAnsi="Arial" w:cs="Arial"/>
                <w:color w:val="000000"/>
                <w:sz w:val="22"/>
                <w:szCs w:val="22"/>
              </w:rPr>
            </w:pPr>
            <w:r w:rsidRPr="00232EDC">
              <w:rPr>
                <w:rFonts w:ascii="Arial" w:eastAsiaTheme="minorHAnsi" w:hAnsi="Arial" w:cs="Arial"/>
                <w:bCs/>
                <w:color w:val="000000"/>
                <w:sz w:val="20"/>
                <w:szCs w:val="20"/>
              </w:rPr>
              <w:t xml:space="preserve">35 </w:t>
            </w:r>
          </w:p>
        </w:tc>
        <w:tc>
          <w:tcPr>
            <w:tcW w:w="1683" w:type="dxa"/>
            <w:shd w:val="clear" w:color="auto" w:fill="BFBFBF"/>
            <w:tcMar>
              <w:top w:w="0" w:type="dxa"/>
              <w:left w:w="108" w:type="dxa"/>
              <w:bottom w:w="0" w:type="dxa"/>
              <w:right w:w="108" w:type="dxa"/>
            </w:tcMar>
            <w:vAlign w:val="center"/>
          </w:tcPr>
          <w:p w14:paraId="14299F61" w14:textId="77777777" w:rsidR="007B4549" w:rsidRPr="00232EDC" w:rsidRDefault="002B4E97" w:rsidP="002B0198">
            <w:pPr>
              <w:jc w:val="center"/>
              <w:rPr>
                <w:rFonts w:ascii="Arial" w:eastAsiaTheme="minorHAnsi" w:hAnsi="Arial" w:cs="Arial"/>
                <w:color w:val="000000"/>
                <w:sz w:val="20"/>
                <w:szCs w:val="20"/>
              </w:rPr>
            </w:pPr>
            <w:r w:rsidRPr="00232EDC">
              <w:rPr>
                <w:rFonts w:ascii="Arial" w:eastAsiaTheme="minorHAnsi" w:hAnsi="Arial" w:cs="Arial"/>
                <w:color w:val="000000"/>
                <w:sz w:val="20"/>
                <w:szCs w:val="20"/>
              </w:rPr>
              <w:t xml:space="preserve">Transitions completed </w:t>
            </w:r>
            <w:r w:rsidR="002B0198" w:rsidRPr="00232EDC">
              <w:rPr>
                <w:rFonts w:ascii="Arial" w:eastAsiaTheme="minorHAnsi" w:hAnsi="Arial" w:cs="Arial"/>
                <w:color w:val="000000"/>
                <w:sz w:val="20"/>
                <w:szCs w:val="20"/>
              </w:rPr>
              <w:t>through</w:t>
            </w:r>
            <w:r w:rsidRPr="00232EDC">
              <w:rPr>
                <w:rFonts w:ascii="Arial" w:eastAsiaTheme="minorHAnsi" w:hAnsi="Arial" w:cs="Arial"/>
                <w:color w:val="000000"/>
                <w:sz w:val="20"/>
                <w:szCs w:val="20"/>
              </w:rPr>
              <w:t xml:space="preserve"> MFP</w:t>
            </w:r>
            <w:r w:rsidR="002B0198" w:rsidRPr="00232EDC">
              <w:rPr>
                <w:rFonts w:ascii="Arial" w:eastAsiaTheme="minorHAnsi" w:hAnsi="Arial" w:cs="Arial"/>
                <w:color w:val="000000"/>
                <w:sz w:val="20"/>
                <w:szCs w:val="20"/>
              </w:rPr>
              <w:t xml:space="preserve"> Demonstration</w:t>
            </w:r>
          </w:p>
        </w:tc>
        <w:tc>
          <w:tcPr>
            <w:tcW w:w="1245" w:type="dxa"/>
            <w:shd w:val="clear" w:color="auto" w:fill="BFBFBF"/>
            <w:vAlign w:val="center"/>
          </w:tcPr>
          <w:p w14:paraId="1BD3F8D3" w14:textId="77777777" w:rsidR="007B4549" w:rsidRPr="00232EDC" w:rsidRDefault="004964DD" w:rsidP="00AC43AB">
            <w:pPr>
              <w:jc w:val="center"/>
              <w:rPr>
                <w:rFonts w:ascii="Arial" w:eastAsiaTheme="minorHAnsi" w:hAnsi="Arial" w:cs="Arial"/>
                <w:bCs/>
                <w:color w:val="000000"/>
                <w:sz w:val="30"/>
                <w:szCs w:val="30"/>
                <w:vertAlign w:val="superscript"/>
              </w:rPr>
            </w:pPr>
            <w:r w:rsidRPr="00232EDC">
              <w:rPr>
                <w:rFonts w:ascii="Arial" w:eastAsiaTheme="minorHAnsi" w:hAnsi="Arial" w:cs="Arial"/>
                <w:bCs/>
                <w:color w:val="000000"/>
                <w:sz w:val="30"/>
                <w:szCs w:val="30"/>
                <w:vertAlign w:val="superscript"/>
              </w:rPr>
              <w:t>12</w:t>
            </w:r>
          </w:p>
        </w:tc>
        <w:tc>
          <w:tcPr>
            <w:tcW w:w="978" w:type="dxa"/>
            <w:shd w:val="clear" w:color="auto" w:fill="BFBFBF"/>
            <w:vAlign w:val="center"/>
          </w:tcPr>
          <w:p w14:paraId="2DFD6D0D" w14:textId="77777777" w:rsidR="007B4549" w:rsidRPr="00232EDC" w:rsidRDefault="003C0E2C" w:rsidP="00AC43AB">
            <w:pPr>
              <w:jc w:val="center"/>
              <w:rPr>
                <w:rFonts w:ascii="Arial" w:eastAsiaTheme="minorHAnsi" w:hAnsi="Arial" w:cs="Arial"/>
                <w:bCs/>
                <w:color w:val="000000"/>
                <w:sz w:val="30"/>
                <w:szCs w:val="30"/>
                <w:vertAlign w:val="superscript"/>
              </w:rPr>
            </w:pPr>
            <w:r w:rsidRPr="00232EDC">
              <w:rPr>
                <w:rFonts w:ascii="Arial" w:eastAsiaTheme="minorHAnsi" w:hAnsi="Arial" w:cs="Arial"/>
                <w:bCs/>
                <w:color w:val="000000"/>
                <w:sz w:val="30"/>
                <w:szCs w:val="30"/>
                <w:vertAlign w:val="superscript"/>
              </w:rPr>
              <w:t>34.3</w:t>
            </w:r>
            <w:r w:rsidR="004964DD" w:rsidRPr="00232EDC">
              <w:rPr>
                <w:rFonts w:ascii="Arial" w:eastAsiaTheme="minorHAnsi" w:hAnsi="Arial" w:cs="Arial"/>
                <w:bCs/>
                <w:color w:val="000000"/>
                <w:sz w:val="30"/>
                <w:szCs w:val="30"/>
                <w:vertAlign w:val="superscript"/>
              </w:rPr>
              <w:t>%</w:t>
            </w:r>
          </w:p>
        </w:tc>
        <w:tc>
          <w:tcPr>
            <w:tcW w:w="1396" w:type="dxa"/>
            <w:shd w:val="clear" w:color="auto" w:fill="BFBFBF"/>
            <w:tcMar>
              <w:top w:w="0" w:type="dxa"/>
              <w:left w:w="108" w:type="dxa"/>
              <w:bottom w:w="0" w:type="dxa"/>
              <w:right w:w="108" w:type="dxa"/>
            </w:tcMar>
            <w:vAlign w:val="center"/>
          </w:tcPr>
          <w:p w14:paraId="6E4D609D" w14:textId="77777777" w:rsidR="007B4549" w:rsidRDefault="007B4549" w:rsidP="00AC43AB">
            <w:pPr>
              <w:jc w:val="center"/>
              <w:rPr>
                <w:rFonts w:ascii="Arial" w:eastAsiaTheme="minorHAnsi" w:hAnsi="Arial" w:cs="Arial"/>
                <w:b/>
                <w:bCs/>
                <w:color w:val="000000"/>
                <w:sz w:val="40"/>
                <w:szCs w:val="40"/>
                <w:vertAlign w:val="superscript"/>
              </w:rPr>
            </w:pPr>
          </w:p>
        </w:tc>
        <w:tc>
          <w:tcPr>
            <w:tcW w:w="1160" w:type="dxa"/>
            <w:shd w:val="clear" w:color="auto" w:fill="BFBFBF"/>
            <w:tcMar>
              <w:top w:w="0" w:type="dxa"/>
              <w:left w:w="108" w:type="dxa"/>
              <w:bottom w:w="0" w:type="dxa"/>
              <w:right w:w="108" w:type="dxa"/>
            </w:tcMar>
            <w:vAlign w:val="center"/>
          </w:tcPr>
          <w:p w14:paraId="29805F86" w14:textId="77777777" w:rsidR="007B4549" w:rsidRPr="009568CB" w:rsidRDefault="007B4549" w:rsidP="00AC43AB">
            <w:pPr>
              <w:jc w:val="center"/>
              <w:rPr>
                <w:rFonts w:ascii="Arial" w:eastAsiaTheme="minorHAnsi" w:hAnsi="Arial" w:cs="Arial"/>
                <w:b/>
                <w:bCs/>
                <w:sz w:val="40"/>
                <w:szCs w:val="40"/>
              </w:rPr>
            </w:pPr>
          </w:p>
        </w:tc>
        <w:tc>
          <w:tcPr>
            <w:tcW w:w="1047" w:type="dxa"/>
            <w:shd w:val="clear" w:color="auto" w:fill="BFBFBF"/>
            <w:vAlign w:val="center"/>
          </w:tcPr>
          <w:p w14:paraId="3CDD4E27" w14:textId="77777777" w:rsidR="007B4549" w:rsidRPr="009568CB" w:rsidRDefault="007B4549" w:rsidP="00AC43AB">
            <w:pPr>
              <w:jc w:val="center"/>
              <w:rPr>
                <w:rFonts w:ascii="Arial" w:hAnsi="Arial" w:cs="Arial"/>
                <w:b/>
                <w:bCs/>
                <w:sz w:val="40"/>
                <w:szCs w:val="40"/>
                <w:vertAlign w:val="superscript"/>
              </w:rPr>
            </w:pPr>
          </w:p>
        </w:tc>
        <w:tc>
          <w:tcPr>
            <w:tcW w:w="1145" w:type="dxa"/>
            <w:shd w:val="clear" w:color="auto" w:fill="BFBFBF"/>
            <w:vAlign w:val="center"/>
          </w:tcPr>
          <w:p w14:paraId="110C0A09" w14:textId="77777777" w:rsidR="007B4549" w:rsidRPr="009568CB" w:rsidRDefault="007B4549" w:rsidP="00AC43AB">
            <w:pPr>
              <w:jc w:val="center"/>
              <w:rPr>
                <w:rFonts w:ascii="Arial" w:hAnsi="Arial" w:cs="Arial"/>
                <w:b/>
                <w:bCs/>
                <w:sz w:val="40"/>
                <w:szCs w:val="40"/>
                <w:vertAlign w:val="superscript"/>
              </w:rPr>
            </w:pPr>
          </w:p>
        </w:tc>
        <w:tc>
          <w:tcPr>
            <w:tcW w:w="1131" w:type="dxa"/>
            <w:shd w:val="clear" w:color="auto" w:fill="BFBFBF"/>
            <w:vAlign w:val="center"/>
          </w:tcPr>
          <w:p w14:paraId="15E9A2E9" w14:textId="77777777" w:rsidR="007B4549" w:rsidRDefault="007B4549" w:rsidP="00AC43AB">
            <w:pPr>
              <w:jc w:val="center"/>
              <w:rPr>
                <w:rFonts w:ascii="Arial" w:hAnsi="Arial" w:cs="Arial"/>
                <w:b/>
                <w:bCs/>
                <w:sz w:val="40"/>
                <w:szCs w:val="40"/>
                <w:vertAlign w:val="superscript"/>
              </w:rPr>
            </w:pPr>
          </w:p>
        </w:tc>
        <w:tc>
          <w:tcPr>
            <w:tcW w:w="894" w:type="dxa"/>
            <w:shd w:val="clear" w:color="auto" w:fill="BFBFBF"/>
            <w:vAlign w:val="center"/>
          </w:tcPr>
          <w:p w14:paraId="3F1B7B7E" w14:textId="77777777" w:rsidR="007B4549" w:rsidRDefault="007B4549" w:rsidP="00AC43AB">
            <w:pPr>
              <w:jc w:val="center"/>
              <w:rPr>
                <w:rFonts w:ascii="Arial" w:hAnsi="Arial" w:cs="Arial"/>
                <w:b/>
                <w:bCs/>
                <w:sz w:val="40"/>
                <w:szCs w:val="40"/>
                <w:vertAlign w:val="superscript"/>
              </w:rPr>
            </w:pPr>
          </w:p>
        </w:tc>
        <w:tc>
          <w:tcPr>
            <w:tcW w:w="1078" w:type="dxa"/>
            <w:shd w:val="clear" w:color="auto" w:fill="BFBFBF"/>
            <w:vAlign w:val="center"/>
          </w:tcPr>
          <w:p w14:paraId="1C5D691E" w14:textId="77777777" w:rsidR="007B4549" w:rsidRPr="009568CB" w:rsidRDefault="007B4549" w:rsidP="00AC43AB">
            <w:pPr>
              <w:jc w:val="center"/>
              <w:rPr>
                <w:rFonts w:ascii="Arial" w:eastAsiaTheme="minorHAnsi" w:hAnsi="Arial" w:cs="Arial"/>
                <w:b/>
                <w:bCs/>
                <w:sz w:val="40"/>
                <w:szCs w:val="40"/>
                <w:vertAlign w:val="superscript"/>
              </w:rPr>
            </w:pPr>
          </w:p>
        </w:tc>
        <w:tc>
          <w:tcPr>
            <w:tcW w:w="1237" w:type="dxa"/>
            <w:shd w:val="clear" w:color="auto" w:fill="BFBFBF"/>
            <w:vAlign w:val="center"/>
          </w:tcPr>
          <w:p w14:paraId="46965D4B" w14:textId="77777777" w:rsidR="007B4549" w:rsidRPr="004B135B" w:rsidRDefault="007B4549" w:rsidP="00AC43AB">
            <w:pPr>
              <w:jc w:val="center"/>
              <w:rPr>
                <w:rFonts w:ascii="Arial" w:eastAsiaTheme="minorHAnsi" w:hAnsi="Arial" w:cs="Arial"/>
                <w:b/>
                <w:color w:val="000000"/>
                <w:sz w:val="22"/>
                <w:szCs w:val="22"/>
              </w:rPr>
            </w:pPr>
          </w:p>
        </w:tc>
      </w:tr>
      <w:tr w:rsidR="002B0198" w14:paraId="23F7816E" w14:textId="77777777" w:rsidTr="00ED4E92">
        <w:trPr>
          <w:cantSplit/>
          <w:trHeight w:val="1637"/>
        </w:trPr>
        <w:tc>
          <w:tcPr>
            <w:tcW w:w="2144" w:type="dxa"/>
            <w:shd w:val="clear" w:color="auto" w:fill="BFBFBF"/>
            <w:tcMar>
              <w:top w:w="0" w:type="dxa"/>
              <w:left w:w="108" w:type="dxa"/>
              <w:bottom w:w="0" w:type="dxa"/>
              <w:right w:w="108" w:type="dxa"/>
            </w:tcMar>
            <w:vAlign w:val="center"/>
          </w:tcPr>
          <w:p w14:paraId="58BBB49C" w14:textId="77777777" w:rsidR="002B4E97" w:rsidRPr="00232EDC" w:rsidRDefault="002B4E97" w:rsidP="002B0198">
            <w:pPr>
              <w:jc w:val="center"/>
              <w:rPr>
                <w:rFonts w:ascii="Arial" w:eastAsiaTheme="minorHAnsi" w:hAnsi="Arial" w:cs="Arial"/>
                <w:color w:val="000000"/>
                <w:sz w:val="22"/>
                <w:szCs w:val="22"/>
              </w:rPr>
            </w:pPr>
            <w:r w:rsidRPr="00232EDC">
              <w:rPr>
                <w:rFonts w:ascii="Arial" w:eastAsiaTheme="minorHAnsi" w:hAnsi="Arial" w:cs="Arial"/>
                <w:color w:val="000000"/>
                <w:sz w:val="20"/>
                <w:szCs w:val="20"/>
              </w:rPr>
              <w:lastRenderedPageBreak/>
              <w:t xml:space="preserve">10 </w:t>
            </w:r>
          </w:p>
        </w:tc>
        <w:tc>
          <w:tcPr>
            <w:tcW w:w="1683" w:type="dxa"/>
            <w:shd w:val="clear" w:color="auto" w:fill="BFBFBF"/>
            <w:tcMar>
              <w:top w:w="0" w:type="dxa"/>
              <w:left w:w="108" w:type="dxa"/>
              <w:bottom w:w="0" w:type="dxa"/>
              <w:right w:w="108" w:type="dxa"/>
            </w:tcMar>
            <w:vAlign w:val="center"/>
          </w:tcPr>
          <w:p w14:paraId="340CB07F" w14:textId="77777777" w:rsidR="002B4E97" w:rsidRPr="00232EDC" w:rsidRDefault="002B4E97" w:rsidP="002B4E97">
            <w:pPr>
              <w:jc w:val="center"/>
              <w:rPr>
                <w:rFonts w:ascii="Arial" w:eastAsiaTheme="minorHAnsi" w:hAnsi="Arial" w:cs="Arial"/>
                <w:color w:val="000000"/>
                <w:sz w:val="20"/>
                <w:szCs w:val="20"/>
              </w:rPr>
            </w:pPr>
            <w:r w:rsidRPr="00232EDC">
              <w:rPr>
                <w:rFonts w:ascii="Arial" w:eastAsiaTheme="minorHAnsi" w:hAnsi="Arial" w:cs="Arial"/>
                <w:color w:val="000000"/>
                <w:sz w:val="20"/>
                <w:szCs w:val="20"/>
              </w:rPr>
              <w:t>Transitions completed with peop</w:t>
            </w:r>
            <w:r w:rsidR="002B0198" w:rsidRPr="00232EDC">
              <w:rPr>
                <w:rFonts w:ascii="Arial" w:eastAsiaTheme="minorHAnsi" w:hAnsi="Arial" w:cs="Arial"/>
                <w:color w:val="000000"/>
                <w:sz w:val="20"/>
                <w:szCs w:val="20"/>
              </w:rPr>
              <w:t>le who are not eligible for MFP</w:t>
            </w:r>
          </w:p>
        </w:tc>
        <w:tc>
          <w:tcPr>
            <w:tcW w:w="1245" w:type="dxa"/>
            <w:shd w:val="clear" w:color="auto" w:fill="BFBFBF"/>
            <w:vAlign w:val="center"/>
          </w:tcPr>
          <w:p w14:paraId="65DBBA39" w14:textId="77777777" w:rsidR="002B4E97" w:rsidRPr="00232EDC" w:rsidRDefault="004964DD" w:rsidP="00AC43AB">
            <w:pPr>
              <w:jc w:val="center"/>
              <w:rPr>
                <w:rFonts w:ascii="Arial" w:eastAsiaTheme="minorHAnsi" w:hAnsi="Arial" w:cs="Arial"/>
                <w:bCs/>
                <w:color w:val="000000"/>
                <w:sz w:val="30"/>
                <w:szCs w:val="30"/>
                <w:vertAlign w:val="superscript"/>
              </w:rPr>
            </w:pPr>
            <w:r w:rsidRPr="00232EDC">
              <w:rPr>
                <w:rFonts w:ascii="Arial" w:eastAsiaTheme="minorHAnsi" w:hAnsi="Arial" w:cs="Arial"/>
                <w:bCs/>
                <w:color w:val="000000"/>
                <w:sz w:val="30"/>
                <w:szCs w:val="30"/>
                <w:vertAlign w:val="superscript"/>
              </w:rPr>
              <w:t>3</w:t>
            </w:r>
          </w:p>
        </w:tc>
        <w:tc>
          <w:tcPr>
            <w:tcW w:w="978" w:type="dxa"/>
            <w:shd w:val="clear" w:color="auto" w:fill="BFBFBF"/>
            <w:vAlign w:val="center"/>
          </w:tcPr>
          <w:p w14:paraId="3983FE7D" w14:textId="77777777" w:rsidR="002B4E97" w:rsidRPr="00232EDC" w:rsidRDefault="004964DD" w:rsidP="00AC43AB">
            <w:pPr>
              <w:jc w:val="center"/>
              <w:rPr>
                <w:rFonts w:ascii="Arial" w:eastAsiaTheme="minorHAnsi" w:hAnsi="Arial" w:cs="Arial"/>
                <w:bCs/>
                <w:color w:val="000000"/>
                <w:sz w:val="30"/>
                <w:szCs w:val="30"/>
                <w:vertAlign w:val="superscript"/>
              </w:rPr>
            </w:pPr>
            <w:r w:rsidRPr="00232EDC">
              <w:rPr>
                <w:rFonts w:ascii="Arial" w:eastAsiaTheme="minorHAnsi" w:hAnsi="Arial" w:cs="Arial"/>
                <w:bCs/>
                <w:color w:val="000000"/>
                <w:sz w:val="30"/>
                <w:szCs w:val="30"/>
                <w:vertAlign w:val="superscript"/>
              </w:rPr>
              <w:t>30%</w:t>
            </w:r>
          </w:p>
        </w:tc>
        <w:tc>
          <w:tcPr>
            <w:tcW w:w="1396" w:type="dxa"/>
            <w:shd w:val="clear" w:color="auto" w:fill="BFBFBF"/>
            <w:tcMar>
              <w:top w:w="0" w:type="dxa"/>
              <w:left w:w="108" w:type="dxa"/>
              <w:bottom w:w="0" w:type="dxa"/>
              <w:right w:w="108" w:type="dxa"/>
            </w:tcMar>
            <w:vAlign w:val="center"/>
          </w:tcPr>
          <w:p w14:paraId="17C6DCD3" w14:textId="77777777" w:rsidR="002B4E97" w:rsidRDefault="002B4E97" w:rsidP="00AC43AB">
            <w:pPr>
              <w:jc w:val="center"/>
              <w:rPr>
                <w:rFonts w:ascii="Arial" w:eastAsiaTheme="minorHAnsi" w:hAnsi="Arial" w:cs="Arial"/>
                <w:b/>
                <w:bCs/>
                <w:color w:val="000000"/>
                <w:sz w:val="40"/>
                <w:szCs w:val="40"/>
                <w:vertAlign w:val="superscript"/>
              </w:rPr>
            </w:pPr>
          </w:p>
        </w:tc>
        <w:tc>
          <w:tcPr>
            <w:tcW w:w="1160" w:type="dxa"/>
            <w:shd w:val="clear" w:color="auto" w:fill="BFBFBF"/>
            <w:tcMar>
              <w:top w:w="0" w:type="dxa"/>
              <w:left w:w="108" w:type="dxa"/>
              <w:bottom w:w="0" w:type="dxa"/>
              <w:right w:w="108" w:type="dxa"/>
            </w:tcMar>
            <w:vAlign w:val="center"/>
          </w:tcPr>
          <w:p w14:paraId="43125535" w14:textId="77777777" w:rsidR="002B4E97" w:rsidRPr="009568CB" w:rsidRDefault="002B4E97" w:rsidP="00AC43AB">
            <w:pPr>
              <w:jc w:val="center"/>
              <w:rPr>
                <w:rFonts w:ascii="Arial" w:eastAsiaTheme="minorHAnsi" w:hAnsi="Arial" w:cs="Arial"/>
                <w:b/>
                <w:bCs/>
                <w:sz w:val="40"/>
                <w:szCs w:val="40"/>
              </w:rPr>
            </w:pPr>
          </w:p>
        </w:tc>
        <w:tc>
          <w:tcPr>
            <w:tcW w:w="1047" w:type="dxa"/>
            <w:shd w:val="clear" w:color="auto" w:fill="BFBFBF"/>
            <w:vAlign w:val="center"/>
          </w:tcPr>
          <w:p w14:paraId="315BA1D4" w14:textId="77777777" w:rsidR="002B4E97" w:rsidRPr="009568CB" w:rsidRDefault="002B4E97" w:rsidP="00AC43AB">
            <w:pPr>
              <w:jc w:val="center"/>
              <w:rPr>
                <w:rFonts w:ascii="Arial" w:hAnsi="Arial" w:cs="Arial"/>
                <w:b/>
                <w:bCs/>
                <w:sz w:val="40"/>
                <w:szCs w:val="40"/>
                <w:vertAlign w:val="superscript"/>
              </w:rPr>
            </w:pPr>
          </w:p>
        </w:tc>
        <w:tc>
          <w:tcPr>
            <w:tcW w:w="1145" w:type="dxa"/>
            <w:shd w:val="clear" w:color="auto" w:fill="BFBFBF"/>
            <w:vAlign w:val="center"/>
          </w:tcPr>
          <w:p w14:paraId="235C181C" w14:textId="77777777" w:rsidR="002B4E97" w:rsidRPr="009568CB" w:rsidRDefault="002B4E97" w:rsidP="00AC43AB">
            <w:pPr>
              <w:jc w:val="center"/>
              <w:rPr>
                <w:rFonts w:ascii="Arial" w:hAnsi="Arial" w:cs="Arial"/>
                <w:b/>
                <w:bCs/>
                <w:sz w:val="40"/>
                <w:szCs w:val="40"/>
                <w:vertAlign w:val="superscript"/>
              </w:rPr>
            </w:pPr>
          </w:p>
        </w:tc>
        <w:tc>
          <w:tcPr>
            <w:tcW w:w="1131" w:type="dxa"/>
            <w:shd w:val="clear" w:color="auto" w:fill="BFBFBF"/>
            <w:vAlign w:val="center"/>
          </w:tcPr>
          <w:p w14:paraId="1F15B8B3" w14:textId="77777777" w:rsidR="002B4E97" w:rsidRDefault="002B4E97" w:rsidP="00AC43AB">
            <w:pPr>
              <w:jc w:val="center"/>
              <w:rPr>
                <w:rFonts w:ascii="Arial" w:hAnsi="Arial" w:cs="Arial"/>
                <w:b/>
                <w:bCs/>
                <w:sz w:val="40"/>
                <w:szCs w:val="40"/>
                <w:vertAlign w:val="superscript"/>
              </w:rPr>
            </w:pPr>
          </w:p>
        </w:tc>
        <w:tc>
          <w:tcPr>
            <w:tcW w:w="894" w:type="dxa"/>
            <w:shd w:val="clear" w:color="auto" w:fill="BFBFBF"/>
            <w:vAlign w:val="center"/>
          </w:tcPr>
          <w:p w14:paraId="1F5B6C4B" w14:textId="77777777" w:rsidR="002B4E97" w:rsidRDefault="002B4E97" w:rsidP="00AC43AB">
            <w:pPr>
              <w:jc w:val="center"/>
              <w:rPr>
                <w:rFonts w:ascii="Arial" w:hAnsi="Arial" w:cs="Arial"/>
                <w:b/>
                <w:bCs/>
                <w:sz w:val="40"/>
                <w:szCs w:val="40"/>
                <w:vertAlign w:val="superscript"/>
              </w:rPr>
            </w:pPr>
          </w:p>
        </w:tc>
        <w:tc>
          <w:tcPr>
            <w:tcW w:w="1078" w:type="dxa"/>
            <w:shd w:val="clear" w:color="auto" w:fill="BFBFBF"/>
            <w:vAlign w:val="center"/>
          </w:tcPr>
          <w:p w14:paraId="115634BE" w14:textId="77777777" w:rsidR="002B4E97" w:rsidRPr="009568CB" w:rsidRDefault="002B4E97" w:rsidP="00AC43AB">
            <w:pPr>
              <w:jc w:val="center"/>
              <w:rPr>
                <w:rFonts w:ascii="Arial" w:eastAsiaTheme="minorHAnsi" w:hAnsi="Arial" w:cs="Arial"/>
                <w:b/>
                <w:bCs/>
                <w:sz w:val="40"/>
                <w:szCs w:val="40"/>
                <w:vertAlign w:val="superscript"/>
              </w:rPr>
            </w:pPr>
          </w:p>
        </w:tc>
        <w:tc>
          <w:tcPr>
            <w:tcW w:w="1237" w:type="dxa"/>
            <w:shd w:val="clear" w:color="auto" w:fill="BFBFBF"/>
            <w:vAlign w:val="center"/>
          </w:tcPr>
          <w:p w14:paraId="3332190B" w14:textId="77777777" w:rsidR="002B4E97" w:rsidRPr="004B135B" w:rsidRDefault="002B4E97" w:rsidP="00AC43AB">
            <w:pPr>
              <w:jc w:val="center"/>
              <w:rPr>
                <w:rFonts w:ascii="Arial" w:eastAsiaTheme="minorHAnsi" w:hAnsi="Arial" w:cs="Arial"/>
                <w:b/>
                <w:color w:val="000000"/>
                <w:sz w:val="22"/>
                <w:szCs w:val="22"/>
              </w:rPr>
            </w:pPr>
          </w:p>
        </w:tc>
      </w:tr>
      <w:tr w:rsidR="002B0198" w14:paraId="74E2C9C9" w14:textId="77777777" w:rsidTr="00ED4E92">
        <w:trPr>
          <w:cantSplit/>
          <w:trHeight w:val="1637"/>
        </w:trPr>
        <w:tc>
          <w:tcPr>
            <w:tcW w:w="2144" w:type="dxa"/>
            <w:shd w:val="clear" w:color="auto" w:fill="BFBFBF"/>
            <w:tcMar>
              <w:top w:w="0" w:type="dxa"/>
              <w:left w:w="108" w:type="dxa"/>
              <w:bottom w:w="0" w:type="dxa"/>
              <w:right w:w="108" w:type="dxa"/>
            </w:tcMar>
            <w:vAlign w:val="center"/>
          </w:tcPr>
          <w:p w14:paraId="692D28E8" w14:textId="77777777" w:rsidR="002B4E97" w:rsidRPr="004B135B" w:rsidRDefault="002B4E97" w:rsidP="002B0198">
            <w:pPr>
              <w:jc w:val="center"/>
              <w:rPr>
                <w:rFonts w:ascii="Arial" w:eastAsiaTheme="minorHAnsi" w:hAnsi="Arial" w:cs="Arial"/>
                <w:b/>
                <w:color w:val="000000"/>
                <w:sz w:val="22"/>
                <w:szCs w:val="22"/>
              </w:rPr>
            </w:pPr>
            <w:r>
              <w:rPr>
                <w:rFonts w:ascii="Arial" w:eastAsiaTheme="minorHAnsi" w:hAnsi="Arial" w:cs="Arial"/>
                <w:b/>
                <w:color w:val="000000"/>
                <w:sz w:val="22"/>
                <w:szCs w:val="22"/>
              </w:rPr>
              <w:t xml:space="preserve">200 </w:t>
            </w:r>
          </w:p>
        </w:tc>
        <w:tc>
          <w:tcPr>
            <w:tcW w:w="1683" w:type="dxa"/>
            <w:shd w:val="clear" w:color="auto" w:fill="BFBFBF"/>
            <w:tcMar>
              <w:top w:w="0" w:type="dxa"/>
              <w:left w:w="108" w:type="dxa"/>
              <w:bottom w:w="0" w:type="dxa"/>
              <w:right w:w="108" w:type="dxa"/>
            </w:tcMar>
            <w:vAlign w:val="center"/>
          </w:tcPr>
          <w:p w14:paraId="04874538" w14:textId="77777777" w:rsidR="002B4E97" w:rsidRDefault="002B0198" w:rsidP="00AC43AB">
            <w:pPr>
              <w:jc w:val="center"/>
              <w:rPr>
                <w:rFonts w:ascii="Arial" w:eastAsiaTheme="minorHAnsi" w:hAnsi="Arial" w:cs="Arial"/>
                <w:b/>
                <w:color w:val="000000"/>
                <w:sz w:val="20"/>
                <w:szCs w:val="20"/>
              </w:rPr>
            </w:pPr>
            <w:r>
              <w:rPr>
                <w:rFonts w:ascii="Arial" w:eastAsiaTheme="minorHAnsi" w:hAnsi="Arial" w:cs="Arial"/>
                <w:b/>
                <w:color w:val="000000"/>
                <w:sz w:val="22"/>
                <w:szCs w:val="22"/>
              </w:rPr>
              <w:t>Consultations to support transition planning</w:t>
            </w:r>
          </w:p>
        </w:tc>
        <w:tc>
          <w:tcPr>
            <w:tcW w:w="1245" w:type="dxa"/>
            <w:shd w:val="clear" w:color="auto" w:fill="BFBFBF"/>
            <w:vAlign w:val="center"/>
          </w:tcPr>
          <w:p w14:paraId="54772F43" w14:textId="77777777" w:rsidR="002B4E97" w:rsidRDefault="001D112A" w:rsidP="00AC43AB">
            <w:pPr>
              <w:jc w:val="center"/>
              <w:rPr>
                <w:rFonts w:ascii="Arial" w:eastAsiaTheme="minorHAnsi" w:hAnsi="Arial" w:cs="Arial"/>
                <w:b/>
                <w:bCs/>
                <w:color w:val="000000"/>
                <w:sz w:val="40"/>
                <w:szCs w:val="40"/>
                <w:vertAlign w:val="superscript"/>
              </w:rPr>
            </w:pPr>
            <w:r>
              <w:rPr>
                <w:rFonts w:ascii="Arial" w:eastAsiaTheme="minorHAnsi" w:hAnsi="Arial" w:cs="Arial"/>
                <w:b/>
                <w:bCs/>
                <w:color w:val="000000"/>
                <w:sz w:val="40"/>
                <w:szCs w:val="40"/>
                <w:vertAlign w:val="superscript"/>
              </w:rPr>
              <w:t>63</w:t>
            </w:r>
          </w:p>
        </w:tc>
        <w:tc>
          <w:tcPr>
            <w:tcW w:w="978" w:type="dxa"/>
            <w:shd w:val="clear" w:color="auto" w:fill="BFBFBF"/>
            <w:vAlign w:val="center"/>
          </w:tcPr>
          <w:p w14:paraId="7B5D06D6" w14:textId="77777777" w:rsidR="002B4E97" w:rsidRDefault="001D112A" w:rsidP="00AC43AB">
            <w:pPr>
              <w:jc w:val="center"/>
              <w:rPr>
                <w:rFonts w:ascii="Arial" w:eastAsiaTheme="minorHAnsi" w:hAnsi="Arial" w:cs="Arial"/>
                <w:b/>
                <w:bCs/>
                <w:color w:val="000000"/>
                <w:sz w:val="40"/>
                <w:szCs w:val="40"/>
                <w:vertAlign w:val="superscript"/>
              </w:rPr>
            </w:pPr>
            <w:r>
              <w:rPr>
                <w:rFonts w:ascii="Arial" w:eastAsiaTheme="minorHAnsi" w:hAnsi="Arial" w:cs="Arial"/>
                <w:b/>
                <w:bCs/>
                <w:color w:val="000000"/>
                <w:sz w:val="40"/>
                <w:szCs w:val="40"/>
                <w:vertAlign w:val="superscript"/>
              </w:rPr>
              <w:t>31.5</w:t>
            </w:r>
            <w:r w:rsidR="00232EDC">
              <w:rPr>
                <w:rFonts w:ascii="Arial" w:eastAsiaTheme="minorHAnsi" w:hAnsi="Arial" w:cs="Arial"/>
                <w:b/>
                <w:bCs/>
                <w:color w:val="000000"/>
                <w:sz w:val="40"/>
                <w:szCs w:val="40"/>
                <w:vertAlign w:val="superscript"/>
              </w:rPr>
              <w:t>%</w:t>
            </w:r>
          </w:p>
        </w:tc>
        <w:tc>
          <w:tcPr>
            <w:tcW w:w="1396" w:type="dxa"/>
            <w:shd w:val="clear" w:color="auto" w:fill="BFBFBF"/>
            <w:tcMar>
              <w:top w:w="0" w:type="dxa"/>
              <w:left w:w="108" w:type="dxa"/>
              <w:bottom w:w="0" w:type="dxa"/>
              <w:right w:w="108" w:type="dxa"/>
            </w:tcMar>
            <w:vAlign w:val="center"/>
          </w:tcPr>
          <w:p w14:paraId="3ADC365B" w14:textId="77777777" w:rsidR="002B4E97" w:rsidRDefault="002B4E97" w:rsidP="00AC43AB">
            <w:pPr>
              <w:jc w:val="center"/>
              <w:rPr>
                <w:rFonts w:ascii="Arial" w:eastAsiaTheme="minorHAnsi" w:hAnsi="Arial" w:cs="Arial"/>
                <w:b/>
                <w:bCs/>
                <w:color w:val="000000"/>
                <w:sz w:val="40"/>
                <w:szCs w:val="40"/>
                <w:vertAlign w:val="superscript"/>
              </w:rPr>
            </w:pPr>
          </w:p>
        </w:tc>
        <w:tc>
          <w:tcPr>
            <w:tcW w:w="1160" w:type="dxa"/>
            <w:shd w:val="clear" w:color="auto" w:fill="BFBFBF"/>
            <w:tcMar>
              <w:top w:w="0" w:type="dxa"/>
              <w:left w:w="108" w:type="dxa"/>
              <w:bottom w:w="0" w:type="dxa"/>
              <w:right w:w="108" w:type="dxa"/>
            </w:tcMar>
            <w:vAlign w:val="center"/>
          </w:tcPr>
          <w:p w14:paraId="2D1E0937" w14:textId="77777777" w:rsidR="002B4E97" w:rsidRPr="009568CB" w:rsidRDefault="002B4E97" w:rsidP="00AC43AB">
            <w:pPr>
              <w:jc w:val="center"/>
              <w:rPr>
                <w:rFonts w:ascii="Arial" w:eastAsiaTheme="minorHAnsi" w:hAnsi="Arial" w:cs="Arial"/>
                <w:b/>
                <w:bCs/>
                <w:sz w:val="40"/>
                <w:szCs w:val="40"/>
              </w:rPr>
            </w:pPr>
          </w:p>
        </w:tc>
        <w:tc>
          <w:tcPr>
            <w:tcW w:w="1047" w:type="dxa"/>
            <w:shd w:val="clear" w:color="auto" w:fill="BFBFBF"/>
            <w:vAlign w:val="center"/>
          </w:tcPr>
          <w:p w14:paraId="745459BF" w14:textId="77777777" w:rsidR="002B4E97" w:rsidRPr="009568CB" w:rsidRDefault="002B4E97" w:rsidP="00AC43AB">
            <w:pPr>
              <w:jc w:val="center"/>
              <w:rPr>
                <w:rFonts w:ascii="Arial" w:hAnsi="Arial" w:cs="Arial"/>
                <w:b/>
                <w:bCs/>
                <w:sz w:val="40"/>
                <w:szCs w:val="40"/>
                <w:vertAlign w:val="superscript"/>
              </w:rPr>
            </w:pPr>
          </w:p>
        </w:tc>
        <w:tc>
          <w:tcPr>
            <w:tcW w:w="1145" w:type="dxa"/>
            <w:shd w:val="clear" w:color="auto" w:fill="BFBFBF"/>
            <w:vAlign w:val="center"/>
          </w:tcPr>
          <w:p w14:paraId="6303DB43" w14:textId="77777777" w:rsidR="002B4E97" w:rsidRPr="009568CB" w:rsidRDefault="002B4E97" w:rsidP="00AC43AB">
            <w:pPr>
              <w:jc w:val="center"/>
              <w:rPr>
                <w:rFonts w:ascii="Arial" w:hAnsi="Arial" w:cs="Arial"/>
                <w:b/>
                <w:bCs/>
                <w:sz w:val="40"/>
                <w:szCs w:val="40"/>
                <w:vertAlign w:val="superscript"/>
              </w:rPr>
            </w:pPr>
          </w:p>
        </w:tc>
        <w:tc>
          <w:tcPr>
            <w:tcW w:w="1131" w:type="dxa"/>
            <w:shd w:val="clear" w:color="auto" w:fill="BFBFBF"/>
            <w:vAlign w:val="center"/>
          </w:tcPr>
          <w:p w14:paraId="25FF8251" w14:textId="77777777" w:rsidR="002B4E97" w:rsidRDefault="002B4E97" w:rsidP="00AC43AB">
            <w:pPr>
              <w:jc w:val="center"/>
              <w:rPr>
                <w:rFonts w:ascii="Arial" w:hAnsi="Arial" w:cs="Arial"/>
                <w:b/>
                <w:bCs/>
                <w:sz w:val="40"/>
                <w:szCs w:val="40"/>
                <w:vertAlign w:val="superscript"/>
              </w:rPr>
            </w:pPr>
          </w:p>
        </w:tc>
        <w:tc>
          <w:tcPr>
            <w:tcW w:w="894" w:type="dxa"/>
            <w:shd w:val="clear" w:color="auto" w:fill="BFBFBF"/>
            <w:vAlign w:val="center"/>
          </w:tcPr>
          <w:p w14:paraId="56372342" w14:textId="77777777" w:rsidR="002B4E97" w:rsidRDefault="002B4E97" w:rsidP="00AC43AB">
            <w:pPr>
              <w:jc w:val="center"/>
              <w:rPr>
                <w:rFonts w:ascii="Arial" w:hAnsi="Arial" w:cs="Arial"/>
                <w:b/>
                <w:bCs/>
                <w:sz w:val="40"/>
                <w:szCs w:val="40"/>
                <w:vertAlign w:val="superscript"/>
              </w:rPr>
            </w:pPr>
          </w:p>
        </w:tc>
        <w:tc>
          <w:tcPr>
            <w:tcW w:w="1078" w:type="dxa"/>
            <w:shd w:val="clear" w:color="auto" w:fill="BFBFBF"/>
            <w:vAlign w:val="center"/>
          </w:tcPr>
          <w:p w14:paraId="1C507FE8" w14:textId="77777777" w:rsidR="002B4E97" w:rsidRPr="009568CB" w:rsidRDefault="002B4E97" w:rsidP="00AC43AB">
            <w:pPr>
              <w:jc w:val="center"/>
              <w:rPr>
                <w:rFonts w:ascii="Arial" w:eastAsiaTheme="minorHAnsi" w:hAnsi="Arial" w:cs="Arial"/>
                <w:b/>
                <w:bCs/>
                <w:sz w:val="40"/>
                <w:szCs w:val="40"/>
                <w:vertAlign w:val="superscript"/>
              </w:rPr>
            </w:pPr>
          </w:p>
        </w:tc>
        <w:tc>
          <w:tcPr>
            <w:tcW w:w="1237" w:type="dxa"/>
            <w:shd w:val="clear" w:color="auto" w:fill="BFBFBF"/>
            <w:vAlign w:val="center"/>
          </w:tcPr>
          <w:p w14:paraId="5747B475" w14:textId="77777777" w:rsidR="002B4E97" w:rsidRPr="004B135B" w:rsidRDefault="002B4E97" w:rsidP="00AC43AB">
            <w:pPr>
              <w:jc w:val="center"/>
              <w:rPr>
                <w:rFonts w:ascii="Arial" w:eastAsiaTheme="minorHAnsi" w:hAnsi="Arial" w:cs="Arial"/>
                <w:b/>
                <w:color w:val="000000"/>
                <w:sz w:val="22"/>
                <w:szCs w:val="22"/>
              </w:rPr>
            </w:pPr>
          </w:p>
        </w:tc>
      </w:tr>
      <w:tr w:rsidR="002B0198" w14:paraId="6B9EC2F7" w14:textId="77777777" w:rsidTr="00ED4E92">
        <w:trPr>
          <w:cantSplit/>
          <w:trHeight w:val="1637"/>
        </w:trPr>
        <w:tc>
          <w:tcPr>
            <w:tcW w:w="2144" w:type="dxa"/>
            <w:shd w:val="clear" w:color="auto" w:fill="BFBFBF"/>
            <w:tcMar>
              <w:top w:w="0" w:type="dxa"/>
              <w:left w:w="108" w:type="dxa"/>
              <w:bottom w:w="0" w:type="dxa"/>
              <w:right w:w="108" w:type="dxa"/>
            </w:tcMar>
            <w:vAlign w:val="center"/>
          </w:tcPr>
          <w:p w14:paraId="3B6429B1" w14:textId="77777777" w:rsidR="002B0198" w:rsidRPr="00232EDC" w:rsidRDefault="002B0198" w:rsidP="00AC43AB">
            <w:pPr>
              <w:jc w:val="center"/>
              <w:rPr>
                <w:rFonts w:ascii="Arial" w:eastAsiaTheme="minorHAnsi" w:hAnsi="Arial" w:cs="Arial"/>
                <w:color w:val="000000"/>
                <w:sz w:val="20"/>
                <w:szCs w:val="20"/>
              </w:rPr>
            </w:pPr>
            <w:r w:rsidRPr="00232EDC">
              <w:rPr>
                <w:rFonts w:ascii="Arial" w:eastAsiaTheme="minorHAnsi" w:hAnsi="Arial" w:cs="Arial"/>
                <w:color w:val="000000"/>
                <w:sz w:val="20"/>
                <w:szCs w:val="20"/>
              </w:rPr>
              <w:t>100</w:t>
            </w:r>
          </w:p>
        </w:tc>
        <w:tc>
          <w:tcPr>
            <w:tcW w:w="1683" w:type="dxa"/>
            <w:shd w:val="clear" w:color="auto" w:fill="BFBFBF"/>
            <w:tcMar>
              <w:top w:w="0" w:type="dxa"/>
              <w:left w:w="108" w:type="dxa"/>
              <w:bottom w:w="0" w:type="dxa"/>
              <w:right w:w="108" w:type="dxa"/>
            </w:tcMar>
            <w:vAlign w:val="center"/>
          </w:tcPr>
          <w:p w14:paraId="0CA046F1" w14:textId="77777777" w:rsidR="002B0198" w:rsidRPr="00232EDC" w:rsidRDefault="002B0198" w:rsidP="00AC43AB">
            <w:pPr>
              <w:jc w:val="center"/>
              <w:rPr>
                <w:rFonts w:ascii="Arial" w:eastAsiaTheme="minorHAnsi" w:hAnsi="Arial" w:cs="Arial"/>
                <w:color w:val="000000"/>
                <w:sz w:val="20"/>
                <w:szCs w:val="20"/>
              </w:rPr>
            </w:pPr>
            <w:r w:rsidRPr="00232EDC">
              <w:rPr>
                <w:rFonts w:ascii="Arial" w:eastAsiaTheme="minorHAnsi" w:hAnsi="Arial" w:cs="Arial"/>
                <w:color w:val="000000"/>
                <w:sz w:val="20"/>
                <w:szCs w:val="20"/>
              </w:rPr>
              <w:t>Consults to assist with hospital discharges</w:t>
            </w:r>
          </w:p>
        </w:tc>
        <w:tc>
          <w:tcPr>
            <w:tcW w:w="1245" w:type="dxa"/>
            <w:shd w:val="clear" w:color="auto" w:fill="BFBFBF"/>
            <w:vAlign w:val="center"/>
          </w:tcPr>
          <w:p w14:paraId="7BCE44A5" w14:textId="77777777" w:rsidR="002B0198" w:rsidRPr="00232EDC" w:rsidRDefault="002B0198" w:rsidP="00AC43AB">
            <w:pPr>
              <w:jc w:val="center"/>
              <w:rPr>
                <w:rFonts w:ascii="Arial" w:eastAsiaTheme="minorHAnsi" w:hAnsi="Arial" w:cs="Arial"/>
                <w:bCs/>
                <w:color w:val="000000"/>
                <w:sz w:val="30"/>
                <w:szCs w:val="30"/>
                <w:vertAlign w:val="superscript"/>
              </w:rPr>
            </w:pPr>
            <w:r w:rsidRPr="00232EDC">
              <w:rPr>
                <w:rFonts w:ascii="Arial" w:eastAsiaTheme="minorHAnsi" w:hAnsi="Arial" w:cs="Arial"/>
                <w:bCs/>
                <w:color w:val="000000"/>
                <w:sz w:val="30"/>
                <w:szCs w:val="30"/>
                <w:vertAlign w:val="superscript"/>
              </w:rPr>
              <w:t>7</w:t>
            </w:r>
          </w:p>
        </w:tc>
        <w:tc>
          <w:tcPr>
            <w:tcW w:w="978" w:type="dxa"/>
            <w:shd w:val="clear" w:color="auto" w:fill="BFBFBF"/>
            <w:vAlign w:val="center"/>
          </w:tcPr>
          <w:p w14:paraId="332C5784" w14:textId="77777777" w:rsidR="002B0198" w:rsidRPr="00232EDC" w:rsidRDefault="002B0198" w:rsidP="00AC43AB">
            <w:pPr>
              <w:jc w:val="center"/>
              <w:rPr>
                <w:rFonts w:ascii="Arial" w:eastAsiaTheme="minorHAnsi" w:hAnsi="Arial" w:cs="Arial"/>
                <w:bCs/>
                <w:color w:val="000000"/>
                <w:sz w:val="30"/>
                <w:szCs w:val="30"/>
                <w:vertAlign w:val="superscript"/>
              </w:rPr>
            </w:pPr>
            <w:r w:rsidRPr="00232EDC">
              <w:rPr>
                <w:rFonts w:ascii="Arial" w:eastAsiaTheme="minorHAnsi" w:hAnsi="Arial" w:cs="Arial"/>
                <w:bCs/>
                <w:color w:val="000000"/>
                <w:sz w:val="30"/>
                <w:szCs w:val="30"/>
                <w:vertAlign w:val="superscript"/>
              </w:rPr>
              <w:t>7%</w:t>
            </w:r>
          </w:p>
        </w:tc>
        <w:tc>
          <w:tcPr>
            <w:tcW w:w="1396" w:type="dxa"/>
            <w:shd w:val="clear" w:color="auto" w:fill="BFBFBF"/>
            <w:tcMar>
              <w:top w:w="0" w:type="dxa"/>
              <w:left w:w="108" w:type="dxa"/>
              <w:bottom w:w="0" w:type="dxa"/>
              <w:right w:w="108" w:type="dxa"/>
            </w:tcMar>
            <w:vAlign w:val="center"/>
          </w:tcPr>
          <w:p w14:paraId="47263A3F" w14:textId="77777777" w:rsidR="002B0198" w:rsidRDefault="002B0198" w:rsidP="00AC43AB">
            <w:pPr>
              <w:jc w:val="center"/>
              <w:rPr>
                <w:rFonts w:ascii="Arial" w:eastAsiaTheme="minorHAnsi" w:hAnsi="Arial" w:cs="Arial"/>
                <w:b/>
                <w:bCs/>
                <w:color w:val="000000"/>
                <w:sz w:val="40"/>
                <w:szCs w:val="40"/>
                <w:vertAlign w:val="superscript"/>
              </w:rPr>
            </w:pPr>
          </w:p>
        </w:tc>
        <w:tc>
          <w:tcPr>
            <w:tcW w:w="1160" w:type="dxa"/>
            <w:shd w:val="clear" w:color="auto" w:fill="BFBFBF"/>
            <w:tcMar>
              <w:top w:w="0" w:type="dxa"/>
              <w:left w:w="108" w:type="dxa"/>
              <w:bottom w:w="0" w:type="dxa"/>
              <w:right w:w="108" w:type="dxa"/>
            </w:tcMar>
            <w:vAlign w:val="center"/>
          </w:tcPr>
          <w:p w14:paraId="20954DD1" w14:textId="77777777" w:rsidR="002B0198" w:rsidRPr="009568CB" w:rsidRDefault="002B0198" w:rsidP="00AC43AB">
            <w:pPr>
              <w:jc w:val="center"/>
              <w:rPr>
                <w:rFonts w:ascii="Arial" w:eastAsiaTheme="minorHAnsi" w:hAnsi="Arial" w:cs="Arial"/>
                <w:b/>
                <w:bCs/>
                <w:sz w:val="40"/>
                <w:szCs w:val="40"/>
              </w:rPr>
            </w:pPr>
          </w:p>
        </w:tc>
        <w:tc>
          <w:tcPr>
            <w:tcW w:w="1047" w:type="dxa"/>
            <w:shd w:val="clear" w:color="auto" w:fill="BFBFBF"/>
            <w:vAlign w:val="center"/>
          </w:tcPr>
          <w:p w14:paraId="1AD716FB" w14:textId="77777777" w:rsidR="002B0198" w:rsidRPr="009568CB" w:rsidRDefault="002B0198" w:rsidP="00AC43AB">
            <w:pPr>
              <w:jc w:val="center"/>
              <w:rPr>
                <w:rFonts w:ascii="Arial" w:hAnsi="Arial" w:cs="Arial"/>
                <w:b/>
                <w:bCs/>
                <w:sz w:val="40"/>
                <w:szCs w:val="40"/>
                <w:vertAlign w:val="superscript"/>
              </w:rPr>
            </w:pPr>
          </w:p>
        </w:tc>
        <w:tc>
          <w:tcPr>
            <w:tcW w:w="1145" w:type="dxa"/>
            <w:shd w:val="clear" w:color="auto" w:fill="BFBFBF"/>
            <w:vAlign w:val="center"/>
          </w:tcPr>
          <w:p w14:paraId="48995CAC" w14:textId="77777777" w:rsidR="002B0198" w:rsidRPr="009568CB" w:rsidRDefault="002B0198" w:rsidP="00AC43AB">
            <w:pPr>
              <w:jc w:val="center"/>
              <w:rPr>
                <w:rFonts w:ascii="Arial" w:hAnsi="Arial" w:cs="Arial"/>
                <w:b/>
                <w:bCs/>
                <w:sz w:val="40"/>
                <w:szCs w:val="40"/>
                <w:vertAlign w:val="superscript"/>
              </w:rPr>
            </w:pPr>
          </w:p>
        </w:tc>
        <w:tc>
          <w:tcPr>
            <w:tcW w:w="1131" w:type="dxa"/>
            <w:shd w:val="clear" w:color="auto" w:fill="BFBFBF"/>
            <w:vAlign w:val="center"/>
          </w:tcPr>
          <w:p w14:paraId="3E8502E2" w14:textId="77777777" w:rsidR="002B0198" w:rsidRDefault="002B0198" w:rsidP="00AC43AB">
            <w:pPr>
              <w:jc w:val="center"/>
              <w:rPr>
                <w:rFonts w:ascii="Arial" w:hAnsi="Arial" w:cs="Arial"/>
                <w:b/>
                <w:bCs/>
                <w:sz w:val="40"/>
                <w:szCs w:val="40"/>
                <w:vertAlign w:val="superscript"/>
              </w:rPr>
            </w:pPr>
          </w:p>
        </w:tc>
        <w:tc>
          <w:tcPr>
            <w:tcW w:w="894" w:type="dxa"/>
            <w:shd w:val="clear" w:color="auto" w:fill="BFBFBF"/>
            <w:vAlign w:val="center"/>
          </w:tcPr>
          <w:p w14:paraId="0FCC6E1F" w14:textId="77777777" w:rsidR="002B0198" w:rsidRDefault="002B0198" w:rsidP="00AC43AB">
            <w:pPr>
              <w:jc w:val="center"/>
              <w:rPr>
                <w:rFonts w:ascii="Arial" w:hAnsi="Arial" w:cs="Arial"/>
                <w:b/>
                <w:bCs/>
                <w:sz w:val="40"/>
                <w:szCs w:val="40"/>
                <w:vertAlign w:val="superscript"/>
              </w:rPr>
            </w:pPr>
          </w:p>
        </w:tc>
        <w:tc>
          <w:tcPr>
            <w:tcW w:w="1078" w:type="dxa"/>
            <w:shd w:val="clear" w:color="auto" w:fill="BFBFBF"/>
            <w:vAlign w:val="center"/>
          </w:tcPr>
          <w:p w14:paraId="30A962D2" w14:textId="77777777" w:rsidR="002B0198" w:rsidRPr="009568CB" w:rsidRDefault="002B0198" w:rsidP="00AC43AB">
            <w:pPr>
              <w:jc w:val="center"/>
              <w:rPr>
                <w:rFonts w:ascii="Arial" w:eastAsiaTheme="minorHAnsi" w:hAnsi="Arial" w:cs="Arial"/>
                <w:b/>
                <w:bCs/>
                <w:sz w:val="40"/>
                <w:szCs w:val="40"/>
                <w:vertAlign w:val="superscript"/>
              </w:rPr>
            </w:pPr>
          </w:p>
        </w:tc>
        <w:tc>
          <w:tcPr>
            <w:tcW w:w="1237" w:type="dxa"/>
            <w:shd w:val="clear" w:color="auto" w:fill="BFBFBF"/>
            <w:vAlign w:val="center"/>
          </w:tcPr>
          <w:p w14:paraId="6D40D7AC" w14:textId="77777777" w:rsidR="002B0198" w:rsidRPr="004B135B" w:rsidRDefault="002B0198" w:rsidP="00AC43AB">
            <w:pPr>
              <w:jc w:val="center"/>
              <w:rPr>
                <w:rFonts w:ascii="Arial" w:eastAsiaTheme="minorHAnsi" w:hAnsi="Arial" w:cs="Arial"/>
                <w:b/>
                <w:color w:val="000000"/>
                <w:sz w:val="22"/>
                <w:szCs w:val="22"/>
              </w:rPr>
            </w:pPr>
          </w:p>
        </w:tc>
      </w:tr>
      <w:tr w:rsidR="002B0198" w14:paraId="5597650C" w14:textId="77777777" w:rsidTr="00ED4E92">
        <w:trPr>
          <w:cantSplit/>
          <w:trHeight w:val="1637"/>
        </w:trPr>
        <w:tc>
          <w:tcPr>
            <w:tcW w:w="2144" w:type="dxa"/>
            <w:shd w:val="clear" w:color="auto" w:fill="BFBFBF"/>
            <w:tcMar>
              <w:top w:w="0" w:type="dxa"/>
              <w:left w:w="108" w:type="dxa"/>
              <w:bottom w:w="0" w:type="dxa"/>
              <w:right w:w="108" w:type="dxa"/>
            </w:tcMar>
            <w:vAlign w:val="center"/>
          </w:tcPr>
          <w:p w14:paraId="44AA63B5" w14:textId="77777777" w:rsidR="002B0198" w:rsidRPr="00232EDC" w:rsidRDefault="002B0198" w:rsidP="00AC43AB">
            <w:pPr>
              <w:jc w:val="center"/>
              <w:rPr>
                <w:rFonts w:ascii="Arial" w:eastAsiaTheme="minorHAnsi" w:hAnsi="Arial" w:cs="Arial"/>
                <w:color w:val="000000"/>
                <w:sz w:val="20"/>
                <w:szCs w:val="20"/>
              </w:rPr>
            </w:pPr>
            <w:r w:rsidRPr="00232EDC">
              <w:rPr>
                <w:rFonts w:ascii="Arial" w:eastAsiaTheme="minorHAnsi" w:hAnsi="Arial" w:cs="Arial"/>
                <w:color w:val="000000"/>
                <w:sz w:val="20"/>
                <w:szCs w:val="20"/>
              </w:rPr>
              <w:t>100</w:t>
            </w:r>
          </w:p>
        </w:tc>
        <w:tc>
          <w:tcPr>
            <w:tcW w:w="1683" w:type="dxa"/>
            <w:shd w:val="clear" w:color="auto" w:fill="BFBFBF"/>
            <w:tcMar>
              <w:top w:w="0" w:type="dxa"/>
              <w:left w:w="108" w:type="dxa"/>
              <w:bottom w:w="0" w:type="dxa"/>
              <w:right w:w="108" w:type="dxa"/>
            </w:tcMar>
            <w:vAlign w:val="center"/>
          </w:tcPr>
          <w:p w14:paraId="57BFF8D5" w14:textId="77777777" w:rsidR="002B0198" w:rsidRPr="00232EDC" w:rsidRDefault="002B0198" w:rsidP="002B0198">
            <w:pPr>
              <w:jc w:val="center"/>
              <w:rPr>
                <w:rFonts w:ascii="Arial" w:eastAsiaTheme="minorHAnsi" w:hAnsi="Arial" w:cs="Arial"/>
                <w:color w:val="000000"/>
                <w:sz w:val="20"/>
                <w:szCs w:val="20"/>
              </w:rPr>
            </w:pPr>
          </w:p>
          <w:p w14:paraId="7AB9FAA9" w14:textId="77777777" w:rsidR="002B0198" w:rsidRPr="00232EDC" w:rsidRDefault="002B0198" w:rsidP="002B0198">
            <w:pPr>
              <w:jc w:val="center"/>
              <w:rPr>
                <w:rFonts w:ascii="Arial" w:eastAsiaTheme="minorHAnsi" w:hAnsi="Arial" w:cs="Arial"/>
                <w:color w:val="000000"/>
                <w:sz w:val="20"/>
                <w:szCs w:val="20"/>
              </w:rPr>
            </w:pPr>
            <w:r w:rsidRPr="00232EDC">
              <w:rPr>
                <w:rFonts w:ascii="Arial" w:eastAsiaTheme="minorHAnsi" w:hAnsi="Arial" w:cs="Arial"/>
                <w:color w:val="000000"/>
                <w:sz w:val="20"/>
                <w:szCs w:val="20"/>
              </w:rPr>
              <w:t xml:space="preserve">Consults to assist with transitions from nursing homes into community </w:t>
            </w:r>
          </w:p>
          <w:p w14:paraId="4BD22C31" w14:textId="77777777" w:rsidR="002B0198" w:rsidRPr="00232EDC" w:rsidRDefault="002B0198" w:rsidP="002B0198">
            <w:pPr>
              <w:jc w:val="center"/>
              <w:rPr>
                <w:rFonts w:ascii="Arial" w:eastAsiaTheme="minorHAnsi" w:hAnsi="Arial" w:cs="Arial"/>
                <w:color w:val="000000"/>
                <w:sz w:val="20"/>
                <w:szCs w:val="20"/>
              </w:rPr>
            </w:pPr>
            <w:r w:rsidRPr="00232EDC">
              <w:rPr>
                <w:rFonts w:ascii="Arial" w:eastAsiaTheme="minorHAnsi" w:hAnsi="Arial" w:cs="Arial"/>
                <w:color w:val="000000"/>
                <w:sz w:val="20"/>
                <w:szCs w:val="20"/>
              </w:rPr>
              <w:t>(NF stays under 90 days)</w:t>
            </w:r>
          </w:p>
          <w:p w14:paraId="58F624F2" w14:textId="77777777" w:rsidR="002B0198" w:rsidRPr="00232EDC" w:rsidRDefault="002B0198" w:rsidP="002B0198">
            <w:pPr>
              <w:jc w:val="center"/>
              <w:rPr>
                <w:rFonts w:ascii="Arial" w:eastAsiaTheme="minorHAnsi" w:hAnsi="Arial" w:cs="Arial"/>
                <w:color w:val="000000"/>
                <w:sz w:val="20"/>
                <w:szCs w:val="20"/>
              </w:rPr>
            </w:pPr>
          </w:p>
        </w:tc>
        <w:tc>
          <w:tcPr>
            <w:tcW w:w="1245" w:type="dxa"/>
            <w:shd w:val="clear" w:color="auto" w:fill="BFBFBF"/>
            <w:vAlign w:val="center"/>
          </w:tcPr>
          <w:p w14:paraId="75F44D40" w14:textId="77777777" w:rsidR="002B0198" w:rsidRPr="00232EDC" w:rsidRDefault="002B0198" w:rsidP="00AC43AB">
            <w:pPr>
              <w:jc w:val="center"/>
              <w:rPr>
                <w:rFonts w:ascii="Arial" w:eastAsiaTheme="minorHAnsi" w:hAnsi="Arial" w:cs="Arial"/>
                <w:bCs/>
                <w:color w:val="000000"/>
                <w:sz w:val="30"/>
                <w:szCs w:val="30"/>
                <w:vertAlign w:val="superscript"/>
              </w:rPr>
            </w:pPr>
            <w:r w:rsidRPr="00232EDC">
              <w:rPr>
                <w:rFonts w:ascii="Arial" w:eastAsiaTheme="minorHAnsi" w:hAnsi="Arial" w:cs="Arial"/>
                <w:bCs/>
                <w:color w:val="000000"/>
                <w:sz w:val="30"/>
                <w:szCs w:val="30"/>
                <w:vertAlign w:val="superscript"/>
              </w:rPr>
              <w:t>56</w:t>
            </w:r>
          </w:p>
        </w:tc>
        <w:tc>
          <w:tcPr>
            <w:tcW w:w="978" w:type="dxa"/>
            <w:shd w:val="clear" w:color="auto" w:fill="BFBFBF"/>
            <w:vAlign w:val="center"/>
          </w:tcPr>
          <w:p w14:paraId="38447B53" w14:textId="77777777" w:rsidR="002B0198" w:rsidRPr="00232EDC" w:rsidRDefault="002B0198" w:rsidP="00AC43AB">
            <w:pPr>
              <w:jc w:val="center"/>
              <w:rPr>
                <w:rFonts w:ascii="Arial" w:eastAsiaTheme="minorHAnsi" w:hAnsi="Arial" w:cs="Arial"/>
                <w:bCs/>
                <w:color w:val="000000"/>
                <w:sz w:val="30"/>
                <w:szCs w:val="30"/>
                <w:vertAlign w:val="superscript"/>
              </w:rPr>
            </w:pPr>
            <w:r w:rsidRPr="00232EDC">
              <w:rPr>
                <w:rFonts w:ascii="Arial" w:eastAsiaTheme="minorHAnsi" w:hAnsi="Arial" w:cs="Arial"/>
                <w:bCs/>
                <w:color w:val="000000"/>
                <w:sz w:val="30"/>
                <w:szCs w:val="30"/>
                <w:vertAlign w:val="superscript"/>
              </w:rPr>
              <w:t>56%</w:t>
            </w:r>
          </w:p>
        </w:tc>
        <w:tc>
          <w:tcPr>
            <w:tcW w:w="1396" w:type="dxa"/>
            <w:shd w:val="clear" w:color="auto" w:fill="BFBFBF"/>
            <w:tcMar>
              <w:top w:w="0" w:type="dxa"/>
              <w:left w:w="108" w:type="dxa"/>
              <w:bottom w:w="0" w:type="dxa"/>
              <w:right w:w="108" w:type="dxa"/>
            </w:tcMar>
            <w:vAlign w:val="center"/>
          </w:tcPr>
          <w:p w14:paraId="363BE85C" w14:textId="77777777" w:rsidR="002B0198" w:rsidRDefault="002B0198" w:rsidP="00AC43AB">
            <w:pPr>
              <w:jc w:val="center"/>
              <w:rPr>
                <w:rFonts w:ascii="Arial" w:eastAsiaTheme="minorHAnsi" w:hAnsi="Arial" w:cs="Arial"/>
                <w:b/>
                <w:bCs/>
                <w:color w:val="000000"/>
                <w:sz w:val="40"/>
                <w:szCs w:val="40"/>
                <w:vertAlign w:val="superscript"/>
              </w:rPr>
            </w:pPr>
          </w:p>
        </w:tc>
        <w:tc>
          <w:tcPr>
            <w:tcW w:w="1160" w:type="dxa"/>
            <w:shd w:val="clear" w:color="auto" w:fill="BFBFBF"/>
            <w:tcMar>
              <w:top w:w="0" w:type="dxa"/>
              <w:left w:w="108" w:type="dxa"/>
              <w:bottom w:w="0" w:type="dxa"/>
              <w:right w:w="108" w:type="dxa"/>
            </w:tcMar>
            <w:vAlign w:val="center"/>
          </w:tcPr>
          <w:p w14:paraId="334DD6A8" w14:textId="77777777" w:rsidR="002B0198" w:rsidRPr="009568CB" w:rsidRDefault="002B0198" w:rsidP="00AC43AB">
            <w:pPr>
              <w:jc w:val="center"/>
              <w:rPr>
                <w:rFonts w:ascii="Arial" w:eastAsiaTheme="minorHAnsi" w:hAnsi="Arial" w:cs="Arial"/>
                <w:b/>
                <w:bCs/>
                <w:sz w:val="40"/>
                <w:szCs w:val="40"/>
              </w:rPr>
            </w:pPr>
          </w:p>
        </w:tc>
        <w:tc>
          <w:tcPr>
            <w:tcW w:w="1047" w:type="dxa"/>
            <w:shd w:val="clear" w:color="auto" w:fill="BFBFBF"/>
            <w:vAlign w:val="center"/>
          </w:tcPr>
          <w:p w14:paraId="4C30BE93" w14:textId="77777777" w:rsidR="002B0198" w:rsidRPr="009568CB" w:rsidRDefault="002B0198" w:rsidP="00AC43AB">
            <w:pPr>
              <w:jc w:val="center"/>
              <w:rPr>
                <w:rFonts w:ascii="Arial" w:hAnsi="Arial" w:cs="Arial"/>
                <w:b/>
                <w:bCs/>
                <w:sz w:val="40"/>
                <w:szCs w:val="40"/>
                <w:vertAlign w:val="superscript"/>
              </w:rPr>
            </w:pPr>
          </w:p>
        </w:tc>
        <w:tc>
          <w:tcPr>
            <w:tcW w:w="1145" w:type="dxa"/>
            <w:shd w:val="clear" w:color="auto" w:fill="BFBFBF"/>
            <w:vAlign w:val="center"/>
          </w:tcPr>
          <w:p w14:paraId="050BFB8D" w14:textId="77777777" w:rsidR="002B0198" w:rsidRPr="009568CB" w:rsidRDefault="002B0198" w:rsidP="00AC43AB">
            <w:pPr>
              <w:jc w:val="center"/>
              <w:rPr>
                <w:rFonts w:ascii="Arial" w:hAnsi="Arial" w:cs="Arial"/>
                <w:b/>
                <w:bCs/>
                <w:sz w:val="40"/>
                <w:szCs w:val="40"/>
                <w:vertAlign w:val="superscript"/>
              </w:rPr>
            </w:pPr>
          </w:p>
        </w:tc>
        <w:tc>
          <w:tcPr>
            <w:tcW w:w="1131" w:type="dxa"/>
            <w:shd w:val="clear" w:color="auto" w:fill="BFBFBF"/>
            <w:vAlign w:val="center"/>
          </w:tcPr>
          <w:p w14:paraId="37BE0426" w14:textId="77777777" w:rsidR="002B0198" w:rsidRDefault="002B0198" w:rsidP="00AC43AB">
            <w:pPr>
              <w:jc w:val="center"/>
              <w:rPr>
                <w:rFonts w:ascii="Arial" w:hAnsi="Arial" w:cs="Arial"/>
                <w:b/>
                <w:bCs/>
                <w:sz w:val="40"/>
                <w:szCs w:val="40"/>
                <w:vertAlign w:val="superscript"/>
              </w:rPr>
            </w:pPr>
          </w:p>
        </w:tc>
        <w:tc>
          <w:tcPr>
            <w:tcW w:w="894" w:type="dxa"/>
            <w:shd w:val="clear" w:color="auto" w:fill="BFBFBF"/>
            <w:vAlign w:val="center"/>
          </w:tcPr>
          <w:p w14:paraId="0FB1FAED" w14:textId="77777777" w:rsidR="002B0198" w:rsidRDefault="002B0198" w:rsidP="00AC43AB">
            <w:pPr>
              <w:jc w:val="center"/>
              <w:rPr>
                <w:rFonts w:ascii="Arial" w:hAnsi="Arial" w:cs="Arial"/>
                <w:b/>
                <w:bCs/>
                <w:sz w:val="40"/>
                <w:szCs w:val="40"/>
                <w:vertAlign w:val="superscript"/>
              </w:rPr>
            </w:pPr>
          </w:p>
        </w:tc>
        <w:tc>
          <w:tcPr>
            <w:tcW w:w="1078" w:type="dxa"/>
            <w:shd w:val="clear" w:color="auto" w:fill="BFBFBF"/>
            <w:vAlign w:val="center"/>
          </w:tcPr>
          <w:p w14:paraId="39F416C3" w14:textId="77777777" w:rsidR="002B0198" w:rsidRPr="009568CB" w:rsidRDefault="002B0198" w:rsidP="00AC43AB">
            <w:pPr>
              <w:jc w:val="center"/>
              <w:rPr>
                <w:rFonts w:ascii="Arial" w:eastAsiaTheme="minorHAnsi" w:hAnsi="Arial" w:cs="Arial"/>
                <w:b/>
                <w:bCs/>
                <w:sz w:val="40"/>
                <w:szCs w:val="40"/>
                <w:vertAlign w:val="superscript"/>
              </w:rPr>
            </w:pPr>
          </w:p>
        </w:tc>
        <w:tc>
          <w:tcPr>
            <w:tcW w:w="1237" w:type="dxa"/>
            <w:shd w:val="clear" w:color="auto" w:fill="BFBFBF"/>
            <w:vAlign w:val="center"/>
          </w:tcPr>
          <w:p w14:paraId="641A0750" w14:textId="77777777" w:rsidR="002B0198" w:rsidRPr="004B135B" w:rsidRDefault="002B0198" w:rsidP="00AC43AB">
            <w:pPr>
              <w:jc w:val="center"/>
              <w:rPr>
                <w:rFonts w:ascii="Arial" w:eastAsiaTheme="minorHAnsi" w:hAnsi="Arial" w:cs="Arial"/>
                <w:b/>
                <w:color w:val="000000"/>
                <w:sz w:val="22"/>
                <w:szCs w:val="22"/>
              </w:rPr>
            </w:pPr>
          </w:p>
        </w:tc>
      </w:tr>
    </w:tbl>
    <w:p w14:paraId="2C0C6729" w14:textId="77777777" w:rsidR="00ED4E92" w:rsidRDefault="00ED4E92">
      <w:r>
        <w:br w:type="page"/>
      </w:r>
    </w:p>
    <w:tbl>
      <w:tblPr>
        <w:tblStyle w:val="TableGrid"/>
        <w:tblpPr w:leftFromText="180" w:rightFromText="180" w:horzAnchor="margin" w:tblpY="540"/>
        <w:tblW w:w="0" w:type="auto"/>
        <w:tblLook w:val="04A0" w:firstRow="1" w:lastRow="0" w:firstColumn="1" w:lastColumn="0" w:noHBand="0" w:noVBand="1"/>
      </w:tblPr>
      <w:tblGrid>
        <w:gridCol w:w="3510"/>
        <w:gridCol w:w="8460"/>
      </w:tblGrid>
      <w:tr w:rsidR="00036E51" w:rsidRPr="00E250B9" w14:paraId="055F911C" w14:textId="77777777" w:rsidTr="00AC43AB">
        <w:trPr>
          <w:trHeight w:val="8630"/>
        </w:trPr>
        <w:tc>
          <w:tcPr>
            <w:tcW w:w="3510" w:type="dxa"/>
            <w:shd w:val="clear" w:color="auto" w:fill="auto"/>
          </w:tcPr>
          <w:p w14:paraId="72DE55A6" w14:textId="77777777" w:rsidR="00ED4E92" w:rsidRDefault="00ED4E92" w:rsidP="00AC43AB">
            <w:pPr>
              <w:rPr>
                <w:rFonts w:ascii="Arial" w:eastAsiaTheme="minorHAnsi" w:hAnsi="Arial" w:cs="Arial"/>
                <w:b/>
                <w:color w:val="000000"/>
                <w:u w:val="single"/>
              </w:rPr>
            </w:pPr>
          </w:p>
          <w:p w14:paraId="5688C5A1" w14:textId="77777777" w:rsidR="00036E51" w:rsidRDefault="007B4549" w:rsidP="00AC43AB">
            <w:pPr>
              <w:rPr>
                <w:rFonts w:ascii="Arial" w:eastAsiaTheme="minorHAnsi" w:hAnsi="Arial" w:cs="Arial"/>
                <w:b/>
                <w:color w:val="000000"/>
                <w:u w:val="single"/>
              </w:rPr>
            </w:pPr>
            <w:r>
              <w:rPr>
                <w:rFonts w:ascii="Arial" w:eastAsiaTheme="minorHAnsi" w:hAnsi="Arial" w:cs="Arial"/>
                <w:b/>
                <w:color w:val="000000"/>
                <w:u w:val="single"/>
              </w:rPr>
              <w:t>Quantitative Goal Progress</w:t>
            </w:r>
          </w:p>
          <w:p w14:paraId="581282EF" w14:textId="77777777" w:rsidR="007B4549" w:rsidRDefault="007B4549" w:rsidP="00AC43AB">
            <w:pPr>
              <w:rPr>
                <w:rFonts w:ascii="Arial" w:eastAsiaTheme="minorHAnsi" w:hAnsi="Arial" w:cs="Arial"/>
                <w:b/>
                <w:color w:val="000000"/>
                <w:u w:val="single"/>
              </w:rPr>
            </w:pPr>
          </w:p>
          <w:p w14:paraId="5935F5AC" w14:textId="77777777" w:rsidR="007B4549" w:rsidRDefault="007B4549" w:rsidP="00AC43AB">
            <w:pPr>
              <w:rPr>
                <w:rFonts w:ascii="Arial" w:eastAsiaTheme="minorHAnsi" w:hAnsi="Arial" w:cs="Arial"/>
                <w:b/>
                <w:color w:val="000000"/>
                <w:u w:val="single"/>
              </w:rPr>
            </w:pPr>
          </w:p>
          <w:p w14:paraId="061EA214" w14:textId="77777777" w:rsidR="007B4549" w:rsidRDefault="007B4549" w:rsidP="00AC43AB">
            <w:pPr>
              <w:rPr>
                <w:rFonts w:ascii="Arial" w:eastAsiaTheme="minorHAnsi" w:hAnsi="Arial" w:cs="Arial"/>
                <w:b/>
                <w:color w:val="000000"/>
                <w:u w:val="single"/>
              </w:rPr>
            </w:pPr>
          </w:p>
          <w:p w14:paraId="603C7D87" w14:textId="77777777" w:rsidR="007B4549" w:rsidRDefault="007B4549" w:rsidP="00AC43AB">
            <w:pPr>
              <w:rPr>
                <w:rFonts w:ascii="Arial" w:eastAsiaTheme="minorHAnsi" w:hAnsi="Arial" w:cs="Arial"/>
                <w:b/>
                <w:color w:val="000000"/>
                <w:u w:val="single"/>
              </w:rPr>
            </w:pPr>
          </w:p>
          <w:p w14:paraId="0BA8A0F4" w14:textId="77777777" w:rsidR="001B2592" w:rsidRDefault="001B2592" w:rsidP="00AC43AB">
            <w:pPr>
              <w:rPr>
                <w:rFonts w:ascii="Arial" w:eastAsiaTheme="minorHAnsi" w:hAnsi="Arial" w:cs="Arial"/>
                <w:b/>
                <w:color w:val="000000"/>
                <w:u w:val="single"/>
              </w:rPr>
            </w:pPr>
          </w:p>
          <w:p w14:paraId="5F335C3F" w14:textId="77777777" w:rsidR="001B2592" w:rsidRDefault="001B2592" w:rsidP="00AC43AB">
            <w:pPr>
              <w:rPr>
                <w:rFonts w:ascii="Arial" w:eastAsiaTheme="minorHAnsi" w:hAnsi="Arial" w:cs="Arial"/>
                <w:b/>
                <w:color w:val="000000"/>
                <w:u w:val="single"/>
              </w:rPr>
            </w:pPr>
          </w:p>
          <w:p w14:paraId="5066D226" w14:textId="77777777" w:rsidR="001B2592" w:rsidRDefault="001B2592" w:rsidP="00AC43AB">
            <w:pPr>
              <w:rPr>
                <w:rFonts w:ascii="Arial" w:eastAsiaTheme="minorHAnsi" w:hAnsi="Arial" w:cs="Arial"/>
                <w:b/>
                <w:color w:val="000000"/>
                <w:u w:val="single"/>
              </w:rPr>
            </w:pPr>
          </w:p>
          <w:p w14:paraId="1398DFE9" w14:textId="77777777" w:rsidR="001B2592" w:rsidRDefault="001B2592" w:rsidP="00AC43AB">
            <w:pPr>
              <w:rPr>
                <w:rFonts w:ascii="Arial" w:eastAsiaTheme="minorHAnsi" w:hAnsi="Arial" w:cs="Arial"/>
                <w:b/>
                <w:color w:val="000000"/>
                <w:u w:val="single"/>
              </w:rPr>
            </w:pPr>
          </w:p>
          <w:p w14:paraId="6AD2BAE5" w14:textId="77777777" w:rsidR="001B2592" w:rsidRDefault="001B2592" w:rsidP="00AC43AB">
            <w:pPr>
              <w:rPr>
                <w:rFonts w:ascii="Arial" w:eastAsiaTheme="minorHAnsi" w:hAnsi="Arial" w:cs="Arial"/>
                <w:b/>
                <w:color w:val="000000"/>
                <w:u w:val="single"/>
              </w:rPr>
            </w:pPr>
          </w:p>
          <w:p w14:paraId="3158C772" w14:textId="77777777" w:rsidR="001B2592" w:rsidRDefault="001B2592" w:rsidP="00AC43AB">
            <w:pPr>
              <w:rPr>
                <w:rFonts w:ascii="Arial" w:eastAsiaTheme="minorHAnsi" w:hAnsi="Arial" w:cs="Arial"/>
                <w:b/>
                <w:color w:val="000000"/>
                <w:u w:val="single"/>
              </w:rPr>
            </w:pPr>
          </w:p>
          <w:p w14:paraId="35E83BC1" w14:textId="77777777" w:rsidR="001B2592" w:rsidRDefault="001B2592" w:rsidP="00AC43AB">
            <w:pPr>
              <w:rPr>
                <w:rFonts w:ascii="Arial" w:eastAsiaTheme="minorHAnsi" w:hAnsi="Arial" w:cs="Arial"/>
                <w:b/>
                <w:color w:val="000000"/>
                <w:u w:val="single"/>
              </w:rPr>
            </w:pPr>
          </w:p>
          <w:p w14:paraId="29491EB3" w14:textId="77777777" w:rsidR="001B2592" w:rsidRDefault="001B2592" w:rsidP="00AC43AB">
            <w:pPr>
              <w:rPr>
                <w:rFonts w:ascii="Arial" w:eastAsiaTheme="minorHAnsi" w:hAnsi="Arial" w:cs="Arial"/>
                <w:b/>
                <w:color w:val="000000"/>
                <w:u w:val="single"/>
              </w:rPr>
            </w:pPr>
          </w:p>
          <w:p w14:paraId="752B8CB8" w14:textId="77777777" w:rsidR="001B2592" w:rsidRDefault="001B2592" w:rsidP="00AC43AB">
            <w:pPr>
              <w:rPr>
                <w:rFonts w:ascii="Arial" w:eastAsiaTheme="minorHAnsi" w:hAnsi="Arial" w:cs="Arial"/>
                <w:b/>
                <w:color w:val="000000"/>
                <w:u w:val="single"/>
              </w:rPr>
            </w:pPr>
          </w:p>
          <w:p w14:paraId="22C26AED" w14:textId="77777777" w:rsidR="001B2592" w:rsidRDefault="001B2592" w:rsidP="00AC43AB">
            <w:pPr>
              <w:rPr>
                <w:rFonts w:ascii="Arial" w:eastAsiaTheme="minorHAnsi" w:hAnsi="Arial" w:cs="Arial"/>
                <w:b/>
                <w:color w:val="000000"/>
                <w:u w:val="single"/>
              </w:rPr>
            </w:pPr>
          </w:p>
          <w:p w14:paraId="178CD826" w14:textId="77777777" w:rsidR="001B2592" w:rsidRDefault="001B2592" w:rsidP="00AC43AB">
            <w:pPr>
              <w:rPr>
                <w:rFonts w:ascii="Arial" w:eastAsiaTheme="minorHAnsi" w:hAnsi="Arial" w:cs="Arial"/>
                <w:b/>
                <w:color w:val="000000"/>
                <w:u w:val="single"/>
              </w:rPr>
            </w:pPr>
          </w:p>
          <w:p w14:paraId="114CD950" w14:textId="77777777" w:rsidR="001B2592" w:rsidRDefault="001B2592" w:rsidP="00AC43AB">
            <w:pPr>
              <w:rPr>
                <w:rFonts w:ascii="Arial" w:eastAsiaTheme="minorHAnsi" w:hAnsi="Arial" w:cs="Arial"/>
                <w:b/>
                <w:color w:val="000000"/>
                <w:u w:val="single"/>
              </w:rPr>
            </w:pPr>
          </w:p>
          <w:p w14:paraId="4C398BAF" w14:textId="77777777" w:rsidR="001B2592" w:rsidRDefault="001B2592" w:rsidP="00AC43AB">
            <w:pPr>
              <w:rPr>
                <w:rFonts w:ascii="Arial" w:eastAsiaTheme="minorHAnsi" w:hAnsi="Arial" w:cs="Arial"/>
                <w:b/>
                <w:color w:val="000000"/>
                <w:u w:val="single"/>
              </w:rPr>
            </w:pPr>
          </w:p>
          <w:p w14:paraId="56B08633" w14:textId="77777777" w:rsidR="001B2592" w:rsidRDefault="001B2592" w:rsidP="00AC43AB">
            <w:pPr>
              <w:rPr>
                <w:rFonts w:ascii="Arial" w:eastAsiaTheme="minorHAnsi" w:hAnsi="Arial" w:cs="Arial"/>
                <w:b/>
                <w:color w:val="000000"/>
                <w:u w:val="single"/>
              </w:rPr>
            </w:pPr>
          </w:p>
          <w:p w14:paraId="4D193342" w14:textId="77777777" w:rsidR="001B2592" w:rsidRDefault="001B2592" w:rsidP="00AC43AB">
            <w:pPr>
              <w:rPr>
                <w:rFonts w:ascii="Arial" w:eastAsiaTheme="minorHAnsi" w:hAnsi="Arial" w:cs="Arial"/>
                <w:b/>
                <w:color w:val="000000"/>
                <w:u w:val="single"/>
              </w:rPr>
            </w:pPr>
          </w:p>
          <w:p w14:paraId="5AD057EC" w14:textId="77777777" w:rsidR="001B2592" w:rsidRDefault="001B2592" w:rsidP="00AC43AB">
            <w:pPr>
              <w:rPr>
                <w:rFonts w:ascii="Arial" w:eastAsiaTheme="minorHAnsi" w:hAnsi="Arial" w:cs="Arial"/>
                <w:b/>
                <w:color w:val="000000"/>
                <w:u w:val="single"/>
              </w:rPr>
            </w:pPr>
          </w:p>
          <w:p w14:paraId="05C9D6A0" w14:textId="77777777" w:rsidR="00FB4BE9" w:rsidRDefault="00FB4BE9" w:rsidP="00AC43AB">
            <w:pPr>
              <w:rPr>
                <w:rFonts w:ascii="Arial" w:eastAsiaTheme="minorHAnsi" w:hAnsi="Arial" w:cs="Arial"/>
                <w:b/>
                <w:color w:val="000000"/>
                <w:u w:val="single"/>
              </w:rPr>
            </w:pPr>
          </w:p>
          <w:p w14:paraId="2B3B5C18" w14:textId="77777777" w:rsidR="00FB4BE9" w:rsidRDefault="00FB4BE9" w:rsidP="00AC43AB">
            <w:pPr>
              <w:rPr>
                <w:rFonts w:ascii="Arial" w:eastAsiaTheme="minorHAnsi" w:hAnsi="Arial" w:cs="Arial"/>
                <w:b/>
                <w:color w:val="000000"/>
                <w:u w:val="single"/>
              </w:rPr>
            </w:pPr>
          </w:p>
          <w:p w14:paraId="1F48BF64" w14:textId="77777777" w:rsidR="00FB4BE9" w:rsidRDefault="00FB4BE9" w:rsidP="00AC43AB">
            <w:pPr>
              <w:rPr>
                <w:rFonts w:ascii="Arial" w:eastAsiaTheme="minorHAnsi" w:hAnsi="Arial" w:cs="Arial"/>
                <w:b/>
                <w:color w:val="000000"/>
                <w:u w:val="single"/>
              </w:rPr>
            </w:pPr>
          </w:p>
          <w:p w14:paraId="44E31B6C" w14:textId="77777777" w:rsidR="00FB4BE9" w:rsidRDefault="00FB4BE9" w:rsidP="00AC43AB">
            <w:pPr>
              <w:rPr>
                <w:rFonts w:ascii="Arial" w:eastAsiaTheme="minorHAnsi" w:hAnsi="Arial" w:cs="Arial"/>
                <w:b/>
                <w:color w:val="000000"/>
                <w:u w:val="single"/>
              </w:rPr>
            </w:pPr>
          </w:p>
          <w:p w14:paraId="579FCBA2" w14:textId="77777777" w:rsidR="00FB4BE9" w:rsidRDefault="00FB4BE9" w:rsidP="00AC43AB">
            <w:pPr>
              <w:rPr>
                <w:rFonts w:ascii="Arial" w:eastAsiaTheme="minorHAnsi" w:hAnsi="Arial" w:cs="Arial"/>
                <w:b/>
                <w:color w:val="000000"/>
                <w:u w:val="single"/>
              </w:rPr>
            </w:pPr>
          </w:p>
          <w:p w14:paraId="2853F80B" w14:textId="77777777" w:rsidR="00FB4BE9" w:rsidRDefault="00FB4BE9" w:rsidP="00AC43AB">
            <w:pPr>
              <w:rPr>
                <w:rFonts w:ascii="Arial" w:eastAsiaTheme="minorHAnsi" w:hAnsi="Arial" w:cs="Arial"/>
                <w:b/>
                <w:color w:val="000000"/>
                <w:u w:val="single"/>
              </w:rPr>
            </w:pPr>
          </w:p>
          <w:p w14:paraId="385F90F1" w14:textId="77777777" w:rsidR="00FB4BE9" w:rsidRDefault="00FB4BE9" w:rsidP="00AC43AB">
            <w:pPr>
              <w:rPr>
                <w:rFonts w:ascii="Arial" w:eastAsiaTheme="minorHAnsi" w:hAnsi="Arial" w:cs="Arial"/>
                <w:b/>
                <w:color w:val="000000"/>
                <w:u w:val="single"/>
              </w:rPr>
            </w:pPr>
          </w:p>
          <w:p w14:paraId="45484A50" w14:textId="77777777" w:rsidR="00FB4BE9" w:rsidRDefault="00FB4BE9" w:rsidP="00AC43AB">
            <w:pPr>
              <w:rPr>
                <w:rFonts w:ascii="Arial" w:eastAsiaTheme="minorHAnsi" w:hAnsi="Arial" w:cs="Arial"/>
                <w:b/>
                <w:color w:val="000000"/>
                <w:u w:val="single"/>
              </w:rPr>
            </w:pPr>
          </w:p>
          <w:p w14:paraId="0157B3F6" w14:textId="77777777" w:rsidR="00FB4BE9" w:rsidRDefault="00FB4BE9" w:rsidP="00AC43AB">
            <w:pPr>
              <w:rPr>
                <w:rFonts w:ascii="Arial" w:eastAsiaTheme="minorHAnsi" w:hAnsi="Arial" w:cs="Arial"/>
                <w:b/>
                <w:color w:val="000000"/>
                <w:u w:val="single"/>
              </w:rPr>
            </w:pPr>
          </w:p>
          <w:p w14:paraId="1C9F9021" w14:textId="77777777" w:rsidR="00FB4BE9" w:rsidRDefault="00FB4BE9" w:rsidP="00AC43AB">
            <w:pPr>
              <w:rPr>
                <w:rFonts w:ascii="Arial" w:eastAsiaTheme="minorHAnsi" w:hAnsi="Arial" w:cs="Arial"/>
                <w:b/>
                <w:color w:val="000000"/>
                <w:u w:val="single"/>
              </w:rPr>
            </w:pPr>
          </w:p>
          <w:p w14:paraId="3068F877" w14:textId="77777777" w:rsidR="00FB4BE9" w:rsidRDefault="00FB4BE9" w:rsidP="00AC43AB">
            <w:pPr>
              <w:rPr>
                <w:rFonts w:ascii="Arial" w:eastAsiaTheme="minorHAnsi" w:hAnsi="Arial" w:cs="Arial"/>
                <w:b/>
                <w:color w:val="000000"/>
                <w:u w:val="single"/>
              </w:rPr>
            </w:pPr>
          </w:p>
          <w:p w14:paraId="4610AE3B" w14:textId="77777777" w:rsidR="00FB4BE9" w:rsidRDefault="00FB4BE9" w:rsidP="00AC43AB">
            <w:pPr>
              <w:rPr>
                <w:rFonts w:ascii="Arial" w:eastAsiaTheme="minorHAnsi" w:hAnsi="Arial" w:cs="Arial"/>
                <w:b/>
                <w:color w:val="000000"/>
                <w:u w:val="single"/>
              </w:rPr>
            </w:pPr>
          </w:p>
          <w:p w14:paraId="08F8EA16" w14:textId="77777777" w:rsidR="00FB4BE9" w:rsidRDefault="00FB4BE9" w:rsidP="00AC43AB">
            <w:pPr>
              <w:rPr>
                <w:rFonts w:ascii="Arial" w:eastAsiaTheme="minorHAnsi" w:hAnsi="Arial" w:cs="Arial"/>
                <w:b/>
                <w:color w:val="000000"/>
                <w:u w:val="single"/>
              </w:rPr>
            </w:pPr>
          </w:p>
          <w:p w14:paraId="5039054A" w14:textId="77777777" w:rsidR="00FB4BE9" w:rsidRDefault="00FB4BE9" w:rsidP="00AC43AB">
            <w:pPr>
              <w:rPr>
                <w:rFonts w:ascii="Arial" w:eastAsiaTheme="minorHAnsi" w:hAnsi="Arial" w:cs="Arial"/>
                <w:b/>
                <w:color w:val="000000"/>
                <w:u w:val="single"/>
              </w:rPr>
            </w:pPr>
          </w:p>
          <w:p w14:paraId="368CC3AC" w14:textId="77777777" w:rsidR="00FB4BE9" w:rsidRDefault="00FB4BE9" w:rsidP="00AC43AB">
            <w:pPr>
              <w:rPr>
                <w:rFonts w:ascii="Arial" w:eastAsiaTheme="minorHAnsi" w:hAnsi="Arial" w:cs="Arial"/>
                <w:b/>
                <w:color w:val="000000"/>
                <w:u w:val="single"/>
              </w:rPr>
            </w:pPr>
          </w:p>
          <w:p w14:paraId="513B6484" w14:textId="77777777" w:rsidR="00FB4BE9" w:rsidRDefault="00FB4BE9" w:rsidP="00AC43AB">
            <w:pPr>
              <w:rPr>
                <w:rFonts w:ascii="Arial" w:eastAsiaTheme="minorHAnsi" w:hAnsi="Arial" w:cs="Arial"/>
                <w:b/>
                <w:color w:val="000000"/>
                <w:u w:val="single"/>
              </w:rPr>
            </w:pPr>
          </w:p>
          <w:p w14:paraId="6E8BFD48" w14:textId="77777777" w:rsidR="00FB4BE9" w:rsidRDefault="00FB4BE9" w:rsidP="00AC43AB">
            <w:pPr>
              <w:rPr>
                <w:rFonts w:ascii="Arial" w:eastAsiaTheme="minorHAnsi" w:hAnsi="Arial" w:cs="Arial"/>
                <w:b/>
                <w:color w:val="000000"/>
                <w:u w:val="single"/>
              </w:rPr>
            </w:pPr>
          </w:p>
          <w:p w14:paraId="0B80B17D" w14:textId="77777777" w:rsidR="00FB4BE9" w:rsidRDefault="00FB4BE9" w:rsidP="00AC43AB">
            <w:pPr>
              <w:rPr>
                <w:rFonts w:ascii="Arial" w:eastAsiaTheme="minorHAnsi" w:hAnsi="Arial" w:cs="Arial"/>
                <w:b/>
                <w:color w:val="000000"/>
                <w:u w:val="single"/>
              </w:rPr>
            </w:pPr>
          </w:p>
          <w:p w14:paraId="6325C57A" w14:textId="77777777" w:rsidR="00FB4BE9" w:rsidRDefault="00FB4BE9" w:rsidP="00AC43AB">
            <w:pPr>
              <w:rPr>
                <w:rFonts w:ascii="Arial" w:eastAsiaTheme="minorHAnsi" w:hAnsi="Arial" w:cs="Arial"/>
                <w:b/>
                <w:color w:val="000000"/>
                <w:u w:val="single"/>
              </w:rPr>
            </w:pPr>
          </w:p>
          <w:p w14:paraId="3B15B495" w14:textId="77777777" w:rsidR="00FB4BE9" w:rsidRDefault="00FB4BE9" w:rsidP="00AC43AB">
            <w:pPr>
              <w:rPr>
                <w:rFonts w:ascii="Arial" w:eastAsiaTheme="minorHAnsi" w:hAnsi="Arial" w:cs="Arial"/>
                <w:b/>
                <w:color w:val="000000"/>
                <w:u w:val="single"/>
              </w:rPr>
            </w:pPr>
          </w:p>
          <w:p w14:paraId="4ABD9B1C" w14:textId="77777777" w:rsidR="00FB4BE9" w:rsidRDefault="00FB4BE9" w:rsidP="00AC43AB">
            <w:pPr>
              <w:rPr>
                <w:rFonts w:ascii="Arial" w:eastAsiaTheme="minorHAnsi" w:hAnsi="Arial" w:cs="Arial"/>
                <w:b/>
                <w:color w:val="000000"/>
                <w:u w:val="single"/>
              </w:rPr>
            </w:pPr>
          </w:p>
          <w:p w14:paraId="66F458FC" w14:textId="77777777" w:rsidR="00FB4BE9" w:rsidRDefault="00FB4BE9" w:rsidP="00AC43AB">
            <w:pPr>
              <w:rPr>
                <w:rFonts w:ascii="Arial" w:eastAsiaTheme="minorHAnsi" w:hAnsi="Arial" w:cs="Arial"/>
                <w:b/>
                <w:color w:val="000000"/>
                <w:u w:val="single"/>
              </w:rPr>
            </w:pPr>
          </w:p>
          <w:p w14:paraId="4706B741" w14:textId="77777777" w:rsidR="00FB4BE9" w:rsidRDefault="00FB4BE9" w:rsidP="00AC43AB">
            <w:pPr>
              <w:rPr>
                <w:rFonts w:ascii="Arial" w:eastAsiaTheme="minorHAnsi" w:hAnsi="Arial" w:cs="Arial"/>
                <w:b/>
                <w:color w:val="000000"/>
                <w:u w:val="single"/>
              </w:rPr>
            </w:pPr>
          </w:p>
          <w:p w14:paraId="67B10E2E" w14:textId="77777777" w:rsidR="00FB4BE9" w:rsidRDefault="00FB4BE9" w:rsidP="00AC43AB">
            <w:pPr>
              <w:rPr>
                <w:rFonts w:ascii="Arial" w:eastAsiaTheme="minorHAnsi" w:hAnsi="Arial" w:cs="Arial"/>
                <w:b/>
                <w:color w:val="000000"/>
                <w:u w:val="single"/>
              </w:rPr>
            </w:pPr>
          </w:p>
          <w:p w14:paraId="0E79E530" w14:textId="77777777" w:rsidR="00FB4BE9" w:rsidRDefault="00FB4BE9" w:rsidP="00AC43AB">
            <w:pPr>
              <w:rPr>
                <w:rFonts w:ascii="Arial" w:eastAsiaTheme="minorHAnsi" w:hAnsi="Arial" w:cs="Arial"/>
                <w:b/>
                <w:color w:val="000000"/>
                <w:u w:val="single"/>
              </w:rPr>
            </w:pPr>
          </w:p>
          <w:p w14:paraId="755A1A2E" w14:textId="77777777" w:rsidR="00FB4BE9" w:rsidRDefault="00FB4BE9" w:rsidP="00AC43AB">
            <w:pPr>
              <w:rPr>
                <w:rFonts w:ascii="Arial" w:eastAsiaTheme="minorHAnsi" w:hAnsi="Arial" w:cs="Arial"/>
                <w:b/>
                <w:color w:val="000000"/>
                <w:u w:val="single"/>
              </w:rPr>
            </w:pPr>
          </w:p>
          <w:p w14:paraId="1CAB5C50" w14:textId="77777777" w:rsidR="00121410" w:rsidRDefault="00121410" w:rsidP="00AC43AB">
            <w:pPr>
              <w:rPr>
                <w:rFonts w:ascii="Arial" w:eastAsiaTheme="minorHAnsi" w:hAnsi="Arial" w:cs="Arial"/>
                <w:b/>
                <w:color w:val="000000"/>
                <w:u w:val="single"/>
              </w:rPr>
            </w:pPr>
          </w:p>
          <w:p w14:paraId="75011771" w14:textId="77777777" w:rsidR="00121410" w:rsidRDefault="00121410" w:rsidP="00AC43AB">
            <w:pPr>
              <w:rPr>
                <w:rFonts w:ascii="Arial" w:eastAsiaTheme="minorHAnsi" w:hAnsi="Arial" w:cs="Arial"/>
                <w:b/>
                <w:color w:val="000000"/>
                <w:u w:val="single"/>
              </w:rPr>
            </w:pPr>
          </w:p>
          <w:p w14:paraId="45ED3499" w14:textId="77777777" w:rsidR="00121410" w:rsidRDefault="00121410" w:rsidP="00AC43AB">
            <w:pPr>
              <w:rPr>
                <w:rFonts w:ascii="Arial" w:eastAsiaTheme="minorHAnsi" w:hAnsi="Arial" w:cs="Arial"/>
                <w:b/>
                <w:color w:val="000000"/>
                <w:u w:val="single"/>
              </w:rPr>
            </w:pPr>
          </w:p>
          <w:p w14:paraId="3807B6D0" w14:textId="77777777" w:rsidR="00121410" w:rsidRDefault="00121410" w:rsidP="00AC43AB">
            <w:pPr>
              <w:rPr>
                <w:rFonts w:ascii="Arial" w:eastAsiaTheme="minorHAnsi" w:hAnsi="Arial" w:cs="Arial"/>
                <w:b/>
                <w:color w:val="000000"/>
                <w:u w:val="single"/>
              </w:rPr>
            </w:pPr>
          </w:p>
          <w:p w14:paraId="1AFD0C40" w14:textId="77777777" w:rsidR="007853E9" w:rsidRDefault="007853E9" w:rsidP="00AC43AB">
            <w:pPr>
              <w:rPr>
                <w:rFonts w:ascii="Arial" w:eastAsiaTheme="minorHAnsi" w:hAnsi="Arial" w:cs="Arial"/>
                <w:b/>
                <w:color w:val="000000"/>
                <w:u w:val="single"/>
              </w:rPr>
            </w:pPr>
          </w:p>
          <w:p w14:paraId="78CBC00C" w14:textId="77777777" w:rsidR="007853E9" w:rsidRDefault="007853E9" w:rsidP="00AC43AB">
            <w:pPr>
              <w:rPr>
                <w:rFonts w:ascii="Arial" w:eastAsiaTheme="minorHAnsi" w:hAnsi="Arial" w:cs="Arial"/>
                <w:b/>
                <w:color w:val="000000"/>
                <w:u w:val="single"/>
              </w:rPr>
            </w:pPr>
          </w:p>
          <w:p w14:paraId="3B939388" w14:textId="77777777" w:rsidR="007853E9" w:rsidRDefault="007853E9" w:rsidP="00AC43AB">
            <w:pPr>
              <w:rPr>
                <w:rFonts w:ascii="Arial" w:eastAsiaTheme="minorHAnsi" w:hAnsi="Arial" w:cs="Arial"/>
                <w:b/>
                <w:color w:val="000000"/>
                <w:u w:val="single"/>
              </w:rPr>
            </w:pPr>
          </w:p>
          <w:p w14:paraId="278F95F5" w14:textId="77777777" w:rsidR="007853E9" w:rsidRDefault="007853E9" w:rsidP="00AC43AB">
            <w:pPr>
              <w:rPr>
                <w:rFonts w:ascii="Arial" w:eastAsiaTheme="minorHAnsi" w:hAnsi="Arial" w:cs="Arial"/>
                <w:b/>
                <w:color w:val="000000"/>
                <w:u w:val="single"/>
              </w:rPr>
            </w:pPr>
          </w:p>
          <w:p w14:paraId="4A78B1C5" w14:textId="77777777" w:rsidR="007853E9" w:rsidRDefault="007853E9" w:rsidP="00AC43AB">
            <w:pPr>
              <w:rPr>
                <w:rFonts w:ascii="Arial" w:eastAsiaTheme="minorHAnsi" w:hAnsi="Arial" w:cs="Arial"/>
                <w:b/>
                <w:color w:val="000000"/>
                <w:u w:val="single"/>
              </w:rPr>
            </w:pPr>
          </w:p>
          <w:p w14:paraId="13489D46" w14:textId="77777777" w:rsidR="007853E9" w:rsidRDefault="007853E9" w:rsidP="00AC43AB">
            <w:pPr>
              <w:rPr>
                <w:rFonts w:ascii="Arial" w:eastAsiaTheme="minorHAnsi" w:hAnsi="Arial" w:cs="Arial"/>
                <w:b/>
                <w:color w:val="000000"/>
                <w:u w:val="single"/>
              </w:rPr>
            </w:pPr>
          </w:p>
          <w:p w14:paraId="63C63D93" w14:textId="77777777" w:rsidR="007853E9" w:rsidRDefault="007853E9" w:rsidP="00AC43AB">
            <w:pPr>
              <w:rPr>
                <w:rFonts w:ascii="Arial" w:eastAsiaTheme="minorHAnsi" w:hAnsi="Arial" w:cs="Arial"/>
                <w:b/>
                <w:color w:val="000000"/>
                <w:u w:val="single"/>
              </w:rPr>
            </w:pPr>
          </w:p>
          <w:p w14:paraId="4735249E" w14:textId="77777777" w:rsidR="00393E2F" w:rsidRDefault="00393E2F" w:rsidP="00AC43AB">
            <w:pPr>
              <w:rPr>
                <w:rFonts w:ascii="Arial" w:eastAsiaTheme="minorHAnsi" w:hAnsi="Arial" w:cs="Arial"/>
                <w:b/>
                <w:color w:val="000000"/>
                <w:u w:val="single"/>
              </w:rPr>
            </w:pPr>
          </w:p>
          <w:p w14:paraId="5CCA90AC" w14:textId="77777777" w:rsidR="00ED4E92" w:rsidRDefault="00ED4E92" w:rsidP="00AC43AB">
            <w:pPr>
              <w:rPr>
                <w:rFonts w:ascii="Arial" w:eastAsiaTheme="minorHAnsi" w:hAnsi="Arial" w:cs="Arial"/>
                <w:b/>
                <w:color w:val="000000"/>
                <w:u w:val="single"/>
              </w:rPr>
            </w:pPr>
          </w:p>
          <w:p w14:paraId="621CF711" w14:textId="77777777" w:rsidR="00ED4E92" w:rsidRDefault="00ED4E92" w:rsidP="00AC43AB">
            <w:pPr>
              <w:rPr>
                <w:rFonts w:ascii="Arial" w:eastAsiaTheme="minorHAnsi" w:hAnsi="Arial" w:cs="Arial"/>
                <w:b/>
                <w:color w:val="000000"/>
                <w:u w:val="single"/>
              </w:rPr>
            </w:pPr>
          </w:p>
          <w:p w14:paraId="0C3F2630" w14:textId="77777777" w:rsidR="00ED4E92" w:rsidRDefault="00ED4E92" w:rsidP="00AC43AB">
            <w:pPr>
              <w:rPr>
                <w:rFonts w:ascii="Arial" w:eastAsiaTheme="minorHAnsi" w:hAnsi="Arial" w:cs="Arial"/>
                <w:b/>
                <w:color w:val="000000"/>
                <w:u w:val="single"/>
              </w:rPr>
            </w:pPr>
          </w:p>
          <w:p w14:paraId="6DA8BF33" w14:textId="77777777" w:rsidR="00ED4E92" w:rsidRDefault="00ED4E92" w:rsidP="00AC43AB">
            <w:pPr>
              <w:rPr>
                <w:rFonts w:ascii="Arial" w:eastAsiaTheme="minorHAnsi" w:hAnsi="Arial" w:cs="Arial"/>
                <w:b/>
                <w:color w:val="000000"/>
                <w:u w:val="single"/>
              </w:rPr>
            </w:pPr>
          </w:p>
          <w:p w14:paraId="7DBBF777" w14:textId="77777777" w:rsidR="00ED4E92" w:rsidRDefault="00ED4E92" w:rsidP="00AC43AB">
            <w:pPr>
              <w:rPr>
                <w:rFonts w:ascii="Arial" w:eastAsiaTheme="minorHAnsi" w:hAnsi="Arial" w:cs="Arial"/>
                <w:b/>
                <w:color w:val="000000"/>
                <w:u w:val="single"/>
              </w:rPr>
            </w:pPr>
          </w:p>
          <w:p w14:paraId="2F119ED2" w14:textId="77777777" w:rsidR="00ED4E92" w:rsidRDefault="00ED4E92" w:rsidP="00AC43AB">
            <w:pPr>
              <w:rPr>
                <w:rFonts w:ascii="Arial" w:eastAsiaTheme="minorHAnsi" w:hAnsi="Arial" w:cs="Arial"/>
                <w:b/>
                <w:color w:val="000000"/>
                <w:u w:val="single"/>
              </w:rPr>
            </w:pPr>
          </w:p>
          <w:p w14:paraId="5206AB3D" w14:textId="77777777" w:rsidR="00ED4E92" w:rsidRDefault="00ED4E92" w:rsidP="00AC43AB">
            <w:pPr>
              <w:rPr>
                <w:rFonts w:ascii="Arial" w:eastAsiaTheme="minorHAnsi" w:hAnsi="Arial" w:cs="Arial"/>
                <w:b/>
                <w:color w:val="000000"/>
                <w:u w:val="single"/>
              </w:rPr>
            </w:pPr>
          </w:p>
          <w:p w14:paraId="64E431E7" w14:textId="77777777" w:rsidR="00ED4E92" w:rsidRDefault="00ED4E92" w:rsidP="00AC43AB">
            <w:pPr>
              <w:rPr>
                <w:rFonts w:ascii="Arial" w:eastAsiaTheme="minorHAnsi" w:hAnsi="Arial" w:cs="Arial"/>
                <w:b/>
                <w:color w:val="000000"/>
                <w:u w:val="single"/>
              </w:rPr>
            </w:pPr>
          </w:p>
          <w:p w14:paraId="215B5698" w14:textId="77777777" w:rsidR="00ED4E92" w:rsidRDefault="00ED4E92" w:rsidP="00AC43AB">
            <w:pPr>
              <w:rPr>
                <w:rFonts w:ascii="Arial" w:eastAsiaTheme="minorHAnsi" w:hAnsi="Arial" w:cs="Arial"/>
                <w:b/>
                <w:color w:val="000000"/>
                <w:u w:val="single"/>
              </w:rPr>
            </w:pPr>
          </w:p>
          <w:p w14:paraId="4815B95E" w14:textId="77777777" w:rsidR="00ED4E92" w:rsidRDefault="00ED4E92" w:rsidP="00AC43AB">
            <w:pPr>
              <w:rPr>
                <w:rFonts w:ascii="Arial" w:eastAsiaTheme="minorHAnsi" w:hAnsi="Arial" w:cs="Arial"/>
                <w:b/>
                <w:color w:val="000000"/>
                <w:u w:val="single"/>
              </w:rPr>
            </w:pPr>
          </w:p>
          <w:p w14:paraId="0475352D" w14:textId="77777777" w:rsidR="00ED4E92" w:rsidRDefault="00ED4E92" w:rsidP="00AC43AB">
            <w:pPr>
              <w:rPr>
                <w:rFonts w:ascii="Arial" w:eastAsiaTheme="minorHAnsi" w:hAnsi="Arial" w:cs="Arial"/>
                <w:b/>
                <w:color w:val="000000"/>
                <w:u w:val="single"/>
              </w:rPr>
            </w:pPr>
          </w:p>
          <w:p w14:paraId="1F85B3A6" w14:textId="77777777" w:rsidR="00ED4E92" w:rsidRDefault="00ED4E92" w:rsidP="00AC43AB">
            <w:pPr>
              <w:rPr>
                <w:rFonts w:ascii="Arial" w:eastAsiaTheme="minorHAnsi" w:hAnsi="Arial" w:cs="Arial"/>
                <w:b/>
                <w:color w:val="000000"/>
                <w:u w:val="single"/>
              </w:rPr>
            </w:pPr>
          </w:p>
          <w:p w14:paraId="6749B8E6" w14:textId="77777777" w:rsidR="00ED4E92" w:rsidRDefault="00ED4E92" w:rsidP="00AC43AB">
            <w:pPr>
              <w:rPr>
                <w:rFonts w:ascii="Arial" w:eastAsiaTheme="minorHAnsi" w:hAnsi="Arial" w:cs="Arial"/>
                <w:b/>
                <w:color w:val="000000"/>
                <w:u w:val="single"/>
              </w:rPr>
            </w:pPr>
          </w:p>
          <w:p w14:paraId="12474858" w14:textId="77777777" w:rsidR="00ED4E92" w:rsidRDefault="00ED4E92" w:rsidP="00AC43AB">
            <w:pPr>
              <w:rPr>
                <w:rFonts w:ascii="Arial" w:eastAsiaTheme="minorHAnsi" w:hAnsi="Arial" w:cs="Arial"/>
                <w:b/>
                <w:color w:val="000000"/>
                <w:u w:val="single"/>
              </w:rPr>
            </w:pPr>
          </w:p>
          <w:p w14:paraId="53AF03F3" w14:textId="77777777" w:rsidR="00ED4E92" w:rsidRDefault="00ED4E92" w:rsidP="00AC43AB">
            <w:pPr>
              <w:rPr>
                <w:rFonts w:ascii="Arial" w:eastAsiaTheme="minorHAnsi" w:hAnsi="Arial" w:cs="Arial"/>
                <w:b/>
                <w:color w:val="000000"/>
                <w:u w:val="single"/>
              </w:rPr>
            </w:pPr>
          </w:p>
          <w:p w14:paraId="7C377304" w14:textId="77777777" w:rsidR="00ED4E92" w:rsidRDefault="00ED4E92" w:rsidP="00AC43AB">
            <w:pPr>
              <w:rPr>
                <w:rFonts w:ascii="Arial" w:eastAsiaTheme="minorHAnsi" w:hAnsi="Arial" w:cs="Arial"/>
                <w:b/>
                <w:color w:val="000000"/>
                <w:u w:val="single"/>
              </w:rPr>
            </w:pPr>
          </w:p>
          <w:p w14:paraId="76445650" w14:textId="77777777" w:rsidR="00036E51" w:rsidRPr="00E250B9" w:rsidRDefault="00036E51" w:rsidP="00AC43AB">
            <w:pPr>
              <w:rPr>
                <w:rFonts w:ascii="Arial" w:eastAsiaTheme="minorHAnsi" w:hAnsi="Arial" w:cs="Arial"/>
                <w:color w:val="000000"/>
              </w:rPr>
            </w:pPr>
            <w:r w:rsidRPr="00E250B9">
              <w:rPr>
                <w:rFonts w:ascii="Arial" w:eastAsiaTheme="minorHAnsi" w:hAnsi="Arial" w:cs="Arial"/>
                <w:b/>
                <w:color w:val="000000"/>
                <w:u w:val="single"/>
              </w:rPr>
              <w:t>Qualitative Goal Progress</w:t>
            </w:r>
            <w:r w:rsidRPr="00E250B9">
              <w:rPr>
                <w:rFonts w:ascii="Arial" w:eastAsiaTheme="minorHAnsi" w:hAnsi="Arial" w:cs="Arial"/>
                <w:b/>
                <w:color w:val="000000"/>
                <w:u w:val="single"/>
              </w:rPr>
              <w:br/>
            </w:r>
          </w:p>
          <w:p w14:paraId="36B030A0" w14:textId="77777777" w:rsidR="00036E51" w:rsidRPr="00E250B9" w:rsidRDefault="00036E51" w:rsidP="00AC43AB">
            <w:pPr>
              <w:rPr>
                <w:rFonts w:ascii="Arial" w:eastAsiaTheme="minorHAnsi" w:hAnsi="Arial" w:cs="Arial"/>
                <w:color w:val="000000"/>
              </w:rPr>
            </w:pPr>
          </w:p>
        </w:tc>
        <w:tc>
          <w:tcPr>
            <w:tcW w:w="8460" w:type="dxa"/>
            <w:shd w:val="clear" w:color="auto" w:fill="auto"/>
          </w:tcPr>
          <w:p w14:paraId="204643D1" w14:textId="77777777" w:rsidR="000F2A15" w:rsidRDefault="007B4549" w:rsidP="00AC43AB">
            <w:pPr>
              <w:rPr>
                <w:rFonts w:ascii="Arial" w:eastAsia="Calibri" w:hAnsi="Arial" w:cs="Arial"/>
                <w:b/>
                <w:color w:val="000000"/>
              </w:rPr>
            </w:pPr>
            <w:r>
              <w:rPr>
                <w:rFonts w:ascii="Arial" w:eastAsia="Calibri" w:hAnsi="Arial" w:cs="Arial"/>
                <w:b/>
                <w:color w:val="000000"/>
              </w:rPr>
              <w:lastRenderedPageBreak/>
              <w:t>Narrative here explains number above and also details barriers faced or programmatic shifts within the agency or DC gov that affect numerical transitions either positively or negatively.</w:t>
            </w:r>
          </w:p>
          <w:p w14:paraId="42A46CA9" w14:textId="77777777" w:rsidR="001B2592" w:rsidRDefault="001B2592" w:rsidP="00AC43AB">
            <w:pPr>
              <w:rPr>
                <w:rFonts w:ascii="Arial" w:eastAsia="Calibri" w:hAnsi="Arial" w:cs="Arial"/>
                <w:b/>
                <w:color w:val="000000"/>
              </w:rPr>
            </w:pPr>
          </w:p>
          <w:p w14:paraId="38E97107" w14:textId="77777777" w:rsidR="00E119AA" w:rsidRPr="00E119AA" w:rsidRDefault="001B2592" w:rsidP="001B2592">
            <w:pPr>
              <w:rPr>
                <w:rFonts w:ascii="Arial" w:eastAsia="Calibri" w:hAnsi="Arial" w:cs="Arial"/>
                <w:b/>
                <w:color w:val="000000"/>
              </w:rPr>
            </w:pPr>
            <w:r>
              <w:rPr>
                <w:rFonts w:ascii="Arial" w:eastAsia="Calibri" w:hAnsi="Arial" w:cs="Arial"/>
                <w:b/>
                <w:color w:val="000000"/>
              </w:rPr>
              <w:t>Transitions from institutional settings</w:t>
            </w:r>
          </w:p>
          <w:p w14:paraId="6EA1E704" w14:textId="77777777" w:rsidR="001D112A" w:rsidRPr="00ED4E92" w:rsidRDefault="00915492" w:rsidP="001D112A">
            <w:pPr>
              <w:rPr>
                <w:rFonts w:ascii="Arial" w:eastAsia="Calibri" w:hAnsi="Arial" w:cs="Arial"/>
                <w:color w:val="000000"/>
              </w:rPr>
            </w:pPr>
            <w:r>
              <w:rPr>
                <w:rFonts w:ascii="Arial" w:eastAsia="Calibri" w:hAnsi="Arial" w:cs="Arial"/>
                <w:color w:val="000000"/>
              </w:rPr>
              <w:t>DCOA’s</w:t>
            </w:r>
            <w:r w:rsidR="00397D45">
              <w:rPr>
                <w:rFonts w:ascii="Arial" w:eastAsia="Calibri" w:hAnsi="Arial" w:cs="Arial"/>
                <w:color w:val="000000"/>
              </w:rPr>
              <w:t xml:space="preserve"> Comm</w:t>
            </w:r>
            <w:r w:rsidR="00167515">
              <w:rPr>
                <w:rFonts w:ascii="Arial" w:eastAsia="Calibri" w:hAnsi="Arial" w:cs="Arial"/>
                <w:color w:val="000000"/>
              </w:rPr>
              <w:t>unity Transition T</w:t>
            </w:r>
            <w:r w:rsidR="00E119AA">
              <w:rPr>
                <w:rFonts w:ascii="Arial" w:eastAsia="Calibri" w:hAnsi="Arial" w:cs="Arial"/>
                <w:color w:val="000000"/>
              </w:rPr>
              <w:t>eam has a</w:t>
            </w:r>
            <w:r w:rsidR="00121410">
              <w:rPr>
                <w:rFonts w:ascii="Arial" w:eastAsia="Calibri" w:hAnsi="Arial" w:cs="Arial"/>
                <w:color w:val="000000"/>
              </w:rPr>
              <w:t>n annual</w:t>
            </w:r>
            <w:r w:rsidR="00E119AA">
              <w:rPr>
                <w:rFonts w:ascii="Arial" w:eastAsia="Calibri" w:hAnsi="Arial" w:cs="Arial"/>
                <w:color w:val="000000"/>
              </w:rPr>
              <w:t xml:space="preserve"> goal of assisting at least 35 people who are eligible for the Money Follows the Person (MFP) </w:t>
            </w:r>
            <w:r w:rsidR="00167515">
              <w:rPr>
                <w:rFonts w:ascii="Arial" w:eastAsia="Calibri" w:hAnsi="Arial" w:cs="Arial"/>
                <w:color w:val="000000"/>
              </w:rPr>
              <w:t xml:space="preserve">demonstration </w:t>
            </w:r>
            <w:r w:rsidR="00E119AA">
              <w:rPr>
                <w:rFonts w:ascii="Arial" w:eastAsia="Calibri" w:hAnsi="Arial" w:cs="Arial"/>
                <w:color w:val="000000"/>
              </w:rPr>
              <w:t>in transitioning from a</w:t>
            </w:r>
            <w:r w:rsidR="002B0198">
              <w:rPr>
                <w:rFonts w:ascii="Arial" w:eastAsia="Calibri" w:hAnsi="Arial" w:cs="Arial"/>
                <w:color w:val="000000"/>
              </w:rPr>
              <w:t xml:space="preserve"> </w:t>
            </w:r>
            <w:r w:rsidR="00E119AA">
              <w:rPr>
                <w:rFonts w:ascii="Arial" w:eastAsia="Calibri" w:hAnsi="Arial" w:cs="Arial"/>
                <w:color w:val="000000"/>
              </w:rPr>
              <w:t xml:space="preserve">nursing </w:t>
            </w:r>
            <w:r w:rsidR="002B0198">
              <w:rPr>
                <w:rFonts w:ascii="Arial" w:eastAsia="Calibri" w:hAnsi="Arial" w:cs="Arial"/>
                <w:color w:val="000000"/>
              </w:rPr>
              <w:t xml:space="preserve">facility </w:t>
            </w:r>
            <w:r w:rsidR="00E119AA">
              <w:rPr>
                <w:rFonts w:ascii="Arial" w:eastAsia="Calibri" w:hAnsi="Arial" w:cs="Arial"/>
                <w:color w:val="000000"/>
              </w:rPr>
              <w:t xml:space="preserve">back into a community-based </w:t>
            </w:r>
            <w:r w:rsidR="00E119AA" w:rsidRPr="00ED4E92">
              <w:rPr>
                <w:rFonts w:ascii="Arial" w:eastAsia="Calibri" w:hAnsi="Arial" w:cs="Arial"/>
                <w:color w:val="000000"/>
              </w:rPr>
              <w:t xml:space="preserve">setting. </w:t>
            </w:r>
            <w:r w:rsidR="001D112A" w:rsidRPr="00ED4E92">
              <w:rPr>
                <w:rFonts w:ascii="Arial" w:eastAsia="Calibri" w:hAnsi="Arial" w:cs="Arial"/>
                <w:color w:val="000000"/>
              </w:rPr>
              <w:t xml:space="preserve">Eligibility requirements include the person: </w:t>
            </w:r>
          </w:p>
          <w:p w14:paraId="54287D9C" w14:textId="77777777" w:rsidR="001D112A" w:rsidRPr="00ED4E92" w:rsidRDefault="001D112A" w:rsidP="001D112A">
            <w:pPr>
              <w:pStyle w:val="ListParagraph"/>
              <w:numPr>
                <w:ilvl w:val="0"/>
                <w:numId w:val="9"/>
              </w:numPr>
              <w:rPr>
                <w:rFonts w:ascii="Arial" w:eastAsia="Calibri" w:hAnsi="Arial" w:cs="Arial"/>
                <w:color w:val="000000"/>
              </w:rPr>
            </w:pPr>
            <w:r w:rsidRPr="00ED4E92">
              <w:rPr>
                <w:rFonts w:ascii="Arial" w:eastAsia="Calibri" w:hAnsi="Arial" w:cs="Arial"/>
                <w:color w:val="000000"/>
              </w:rPr>
              <w:t>currently resides in a Qualified Institution (hospital or a nursing facility)  and has resided for a period of not less than 90 days,</w:t>
            </w:r>
          </w:p>
          <w:p w14:paraId="3067BEF0" w14:textId="77777777" w:rsidR="001D112A" w:rsidRPr="00ED4E92" w:rsidRDefault="00ED4E92" w:rsidP="001D112A">
            <w:pPr>
              <w:pStyle w:val="ListParagraph"/>
              <w:numPr>
                <w:ilvl w:val="0"/>
                <w:numId w:val="9"/>
              </w:numPr>
              <w:rPr>
                <w:rFonts w:ascii="Arial" w:eastAsia="Calibri" w:hAnsi="Arial" w:cs="Arial"/>
                <w:color w:val="000000"/>
              </w:rPr>
            </w:pPr>
            <w:r>
              <w:rPr>
                <w:rFonts w:ascii="Arial" w:hAnsi="Arial" w:cs="Arial"/>
              </w:rPr>
              <w:t>will be eligible for the</w:t>
            </w:r>
            <w:r w:rsidR="001D112A" w:rsidRPr="00ED4E92">
              <w:rPr>
                <w:rFonts w:ascii="Arial" w:hAnsi="Arial" w:cs="Arial"/>
              </w:rPr>
              <w:t xml:space="preserve"> </w:t>
            </w:r>
            <w:r>
              <w:rPr>
                <w:rFonts w:ascii="Arial" w:hAnsi="Arial" w:cs="Arial"/>
              </w:rPr>
              <w:t>EPD Waiver upon discharge, including Level of Care, financial eligibility (300% of Federal Poverty Level or can spend down to this level), and age (18+ years old with a disability)</w:t>
            </w:r>
          </w:p>
          <w:p w14:paraId="1714BAEE" w14:textId="77777777" w:rsidR="001D112A" w:rsidRPr="00ED4E92" w:rsidRDefault="001D112A" w:rsidP="001D112A">
            <w:pPr>
              <w:pStyle w:val="ListParagraph"/>
              <w:numPr>
                <w:ilvl w:val="0"/>
                <w:numId w:val="9"/>
              </w:numPr>
              <w:rPr>
                <w:rFonts w:ascii="Arial" w:eastAsia="Calibri" w:hAnsi="Arial" w:cs="Arial"/>
                <w:color w:val="000000"/>
              </w:rPr>
            </w:pPr>
            <w:r w:rsidRPr="00ED4E92">
              <w:rPr>
                <w:rFonts w:ascii="Arial" w:hAnsi="Arial" w:cs="Arial"/>
              </w:rPr>
              <w:t>is receiving federal Medicaid benefits for inpatient services furnished by a Qualified Institution for at least one day before the transition to Medicaid Home and Community Based Services.</w:t>
            </w:r>
          </w:p>
          <w:p w14:paraId="115409B7" w14:textId="77777777" w:rsidR="00E119AA" w:rsidRPr="001B2592" w:rsidRDefault="00E119AA" w:rsidP="001B2592">
            <w:pPr>
              <w:rPr>
                <w:rFonts w:ascii="Arial" w:eastAsia="Calibri" w:hAnsi="Arial" w:cs="Arial"/>
                <w:color w:val="000000"/>
              </w:rPr>
            </w:pPr>
          </w:p>
          <w:p w14:paraId="60056F5F" w14:textId="77777777" w:rsidR="00167515" w:rsidRDefault="002B0198" w:rsidP="002B0198">
            <w:pPr>
              <w:rPr>
                <w:rFonts w:ascii="Arial" w:eastAsia="Calibri" w:hAnsi="Arial" w:cs="Arial"/>
                <w:color w:val="000000"/>
              </w:rPr>
            </w:pPr>
            <w:r>
              <w:rPr>
                <w:rFonts w:ascii="Arial" w:eastAsia="Calibri" w:hAnsi="Arial" w:cs="Arial"/>
                <w:color w:val="000000"/>
              </w:rPr>
              <w:t>DCOA</w:t>
            </w:r>
            <w:r w:rsidR="00167515">
              <w:rPr>
                <w:rFonts w:ascii="Arial" w:eastAsia="Calibri" w:hAnsi="Arial" w:cs="Arial"/>
                <w:color w:val="000000"/>
              </w:rPr>
              <w:t xml:space="preserve">’s Community Transitions Team </w:t>
            </w:r>
            <w:r>
              <w:rPr>
                <w:rFonts w:ascii="Arial" w:eastAsia="Calibri" w:hAnsi="Arial" w:cs="Arial"/>
                <w:color w:val="000000"/>
              </w:rPr>
              <w:t>also assists people</w:t>
            </w:r>
            <w:r w:rsidR="00167515">
              <w:rPr>
                <w:rFonts w:ascii="Arial" w:eastAsia="Calibri" w:hAnsi="Arial" w:cs="Arial"/>
                <w:color w:val="000000"/>
              </w:rPr>
              <w:t xml:space="preserve"> requesting assistance with transitions who have been in a nursing fa</w:t>
            </w:r>
            <w:r w:rsidR="00ED4E92">
              <w:rPr>
                <w:rFonts w:ascii="Arial" w:eastAsia="Calibri" w:hAnsi="Arial" w:cs="Arial"/>
                <w:color w:val="000000"/>
              </w:rPr>
              <w:t>cility at least 90 days, but are</w:t>
            </w:r>
            <w:r w:rsidR="00167515">
              <w:rPr>
                <w:rFonts w:ascii="Arial" w:eastAsia="Calibri" w:hAnsi="Arial" w:cs="Arial"/>
                <w:color w:val="000000"/>
              </w:rPr>
              <w:t xml:space="preserve"> not </w:t>
            </w:r>
            <w:r w:rsidR="00ED4E92">
              <w:rPr>
                <w:rFonts w:ascii="Arial" w:eastAsia="Calibri" w:hAnsi="Arial" w:cs="Arial"/>
                <w:color w:val="000000"/>
              </w:rPr>
              <w:t>eligible for</w:t>
            </w:r>
            <w:r w:rsidR="00167515">
              <w:rPr>
                <w:rFonts w:ascii="Arial" w:eastAsia="Calibri" w:hAnsi="Arial" w:cs="Arial"/>
                <w:color w:val="000000"/>
              </w:rPr>
              <w:t xml:space="preserve"> </w:t>
            </w:r>
            <w:r w:rsidR="00ED4E92">
              <w:rPr>
                <w:rFonts w:ascii="Arial" w:eastAsia="Calibri" w:hAnsi="Arial" w:cs="Arial"/>
                <w:color w:val="000000"/>
              </w:rPr>
              <w:t xml:space="preserve">the </w:t>
            </w:r>
            <w:r w:rsidR="00167515">
              <w:rPr>
                <w:rFonts w:ascii="Arial" w:eastAsia="Calibri" w:hAnsi="Arial" w:cs="Arial"/>
                <w:color w:val="000000"/>
              </w:rPr>
              <w:t>EPD</w:t>
            </w:r>
            <w:r w:rsidR="00ED4E92">
              <w:rPr>
                <w:rFonts w:ascii="Arial" w:eastAsia="Calibri" w:hAnsi="Arial" w:cs="Arial"/>
                <w:color w:val="000000"/>
              </w:rPr>
              <w:t xml:space="preserve"> Waiver either due to</w:t>
            </w:r>
            <w:r w:rsidR="00167515">
              <w:rPr>
                <w:rFonts w:ascii="Arial" w:eastAsia="Calibri" w:hAnsi="Arial" w:cs="Arial"/>
                <w:color w:val="000000"/>
              </w:rPr>
              <w:t xml:space="preserve"> </w:t>
            </w:r>
            <w:r w:rsidR="00ED4E92">
              <w:rPr>
                <w:rFonts w:ascii="Arial" w:eastAsia="Calibri" w:hAnsi="Arial" w:cs="Arial"/>
                <w:color w:val="000000"/>
              </w:rPr>
              <w:t>level of care, and/</w:t>
            </w:r>
            <w:r w:rsidR="00167515">
              <w:rPr>
                <w:rFonts w:ascii="Arial" w:eastAsia="Calibri" w:hAnsi="Arial" w:cs="Arial"/>
                <w:color w:val="000000"/>
              </w:rPr>
              <w:t>or financial</w:t>
            </w:r>
            <w:r w:rsidR="00ED4E92">
              <w:rPr>
                <w:rFonts w:ascii="Arial" w:eastAsia="Calibri" w:hAnsi="Arial" w:cs="Arial"/>
                <w:color w:val="000000"/>
              </w:rPr>
              <w:t xml:space="preserve"> eligibility</w:t>
            </w:r>
            <w:r w:rsidR="00167515">
              <w:rPr>
                <w:rFonts w:ascii="Arial" w:eastAsia="Calibri" w:hAnsi="Arial" w:cs="Arial"/>
                <w:color w:val="000000"/>
              </w:rPr>
              <w:t>. DCOA has a goal of assisting at least 10 people with transitioning into the community</w:t>
            </w:r>
            <w:r w:rsidR="00ED4E92">
              <w:rPr>
                <w:rFonts w:ascii="Arial" w:eastAsia="Calibri" w:hAnsi="Arial" w:cs="Arial"/>
                <w:color w:val="000000"/>
              </w:rPr>
              <w:t xml:space="preserve"> regardless of whether they qualify for the EPD Waiver. Non-EPD Waiver beneficiaries are also considered “non-MFP transitions” for this report.</w:t>
            </w:r>
          </w:p>
          <w:p w14:paraId="4B8E6AB3" w14:textId="77777777" w:rsidR="00167515" w:rsidRDefault="00167515" w:rsidP="002B0198">
            <w:pPr>
              <w:rPr>
                <w:rFonts w:ascii="Arial" w:eastAsia="Calibri" w:hAnsi="Arial" w:cs="Arial"/>
                <w:color w:val="000000"/>
              </w:rPr>
            </w:pPr>
          </w:p>
          <w:p w14:paraId="31A0310A" w14:textId="77777777" w:rsidR="002B0198" w:rsidRPr="002B0198" w:rsidRDefault="002B0198" w:rsidP="002B0198">
            <w:pPr>
              <w:rPr>
                <w:rFonts w:ascii="Arial" w:eastAsia="Calibri" w:hAnsi="Arial" w:cs="Arial"/>
                <w:color w:val="000000"/>
              </w:rPr>
            </w:pPr>
            <w:r w:rsidRPr="002B0198">
              <w:rPr>
                <w:rFonts w:ascii="Arial" w:eastAsia="Calibri" w:hAnsi="Arial" w:cs="Arial"/>
                <w:color w:val="000000"/>
              </w:rPr>
              <w:t xml:space="preserve">During the </w:t>
            </w:r>
            <w:r w:rsidR="00167515">
              <w:rPr>
                <w:rFonts w:ascii="Arial" w:eastAsia="Calibri" w:hAnsi="Arial" w:cs="Arial"/>
                <w:color w:val="000000"/>
              </w:rPr>
              <w:t>months of January to March 2016 (</w:t>
            </w:r>
            <w:r w:rsidRPr="002B0198">
              <w:rPr>
                <w:rFonts w:ascii="Arial" w:eastAsia="Calibri" w:hAnsi="Arial" w:cs="Arial"/>
                <w:color w:val="000000"/>
              </w:rPr>
              <w:t>Q</w:t>
            </w:r>
            <w:r w:rsidR="00167515">
              <w:rPr>
                <w:rFonts w:ascii="Arial" w:eastAsia="Calibri" w:hAnsi="Arial" w:cs="Arial"/>
                <w:color w:val="000000"/>
              </w:rPr>
              <w:t xml:space="preserve">uarter </w:t>
            </w:r>
            <w:r w:rsidRPr="002B0198">
              <w:rPr>
                <w:rFonts w:ascii="Arial" w:eastAsia="Calibri" w:hAnsi="Arial" w:cs="Arial"/>
                <w:color w:val="000000"/>
              </w:rPr>
              <w:t>1)</w:t>
            </w:r>
            <w:r w:rsidR="00167515">
              <w:rPr>
                <w:rFonts w:ascii="Arial" w:eastAsia="Calibri" w:hAnsi="Arial" w:cs="Arial"/>
                <w:color w:val="000000"/>
              </w:rPr>
              <w:t xml:space="preserve">, DCOA assisted 15 people with community transitions. </w:t>
            </w:r>
            <w:r w:rsidR="00B54AE2">
              <w:rPr>
                <w:rFonts w:ascii="Arial" w:eastAsia="Calibri" w:hAnsi="Arial" w:cs="Arial"/>
                <w:color w:val="000000"/>
              </w:rPr>
              <w:t xml:space="preserve">Twelve (12) people were eligible for MFP, and 3 were considered non-MFP, as described above. </w:t>
            </w:r>
            <w:r w:rsidR="00121410">
              <w:rPr>
                <w:rFonts w:ascii="Arial" w:eastAsia="Calibri" w:hAnsi="Arial" w:cs="Arial"/>
                <w:color w:val="000000"/>
              </w:rPr>
              <w:t>At</w:t>
            </w:r>
            <w:r w:rsidRPr="002B0198">
              <w:rPr>
                <w:rFonts w:ascii="Arial" w:eastAsia="Calibri" w:hAnsi="Arial" w:cs="Arial"/>
                <w:color w:val="000000"/>
              </w:rPr>
              <w:t xml:space="preserve"> the close of Q</w:t>
            </w:r>
            <w:r w:rsidR="00B54AE2">
              <w:rPr>
                <w:rFonts w:ascii="Arial" w:eastAsia="Calibri" w:hAnsi="Arial" w:cs="Arial"/>
                <w:color w:val="000000"/>
              </w:rPr>
              <w:t xml:space="preserve">uarter </w:t>
            </w:r>
            <w:r w:rsidRPr="002B0198">
              <w:rPr>
                <w:rFonts w:ascii="Arial" w:eastAsia="Calibri" w:hAnsi="Arial" w:cs="Arial"/>
                <w:color w:val="000000"/>
              </w:rPr>
              <w:t xml:space="preserve">1, DCOA had reached </w:t>
            </w:r>
            <w:r w:rsidR="00B54AE2">
              <w:rPr>
                <w:rFonts w:ascii="Arial" w:eastAsia="Calibri" w:hAnsi="Arial" w:cs="Arial"/>
                <w:color w:val="000000"/>
              </w:rPr>
              <w:t>33.3</w:t>
            </w:r>
            <w:r w:rsidRPr="002B0198">
              <w:rPr>
                <w:rFonts w:ascii="Arial" w:eastAsia="Calibri" w:hAnsi="Arial" w:cs="Arial"/>
                <w:color w:val="000000"/>
              </w:rPr>
              <w:t>% of its</w:t>
            </w:r>
            <w:r w:rsidR="00B54AE2">
              <w:rPr>
                <w:rFonts w:ascii="Arial" w:eastAsia="Calibri" w:hAnsi="Arial" w:cs="Arial"/>
                <w:color w:val="000000"/>
              </w:rPr>
              <w:t xml:space="preserve"> community </w:t>
            </w:r>
            <w:r w:rsidRPr="002B0198">
              <w:rPr>
                <w:rFonts w:ascii="Arial" w:eastAsia="Calibri" w:hAnsi="Arial" w:cs="Arial"/>
                <w:color w:val="000000"/>
              </w:rPr>
              <w:t>transition goal.</w:t>
            </w:r>
          </w:p>
          <w:p w14:paraId="69862891" w14:textId="77777777" w:rsidR="001B2592" w:rsidRDefault="001B2592" w:rsidP="00AC43AB">
            <w:pPr>
              <w:rPr>
                <w:rFonts w:ascii="Arial" w:eastAsia="Calibri" w:hAnsi="Arial" w:cs="Arial"/>
                <w:b/>
                <w:color w:val="000000"/>
              </w:rPr>
            </w:pPr>
          </w:p>
          <w:p w14:paraId="5ACF3E02" w14:textId="77777777" w:rsidR="001B2592" w:rsidRDefault="001B2592" w:rsidP="00AC43AB">
            <w:pPr>
              <w:rPr>
                <w:rFonts w:ascii="Arial" w:eastAsia="Calibri" w:hAnsi="Arial" w:cs="Arial"/>
                <w:b/>
                <w:color w:val="000000"/>
              </w:rPr>
            </w:pPr>
            <w:r>
              <w:rPr>
                <w:rFonts w:ascii="Arial" w:eastAsia="Calibri" w:hAnsi="Arial" w:cs="Arial"/>
                <w:b/>
                <w:color w:val="000000"/>
              </w:rPr>
              <w:t>Consultations to support transitions planning</w:t>
            </w:r>
          </w:p>
          <w:p w14:paraId="5B8AABD1" w14:textId="77777777" w:rsidR="001B2592" w:rsidRDefault="00B54AE2" w:rsidP="001B2592">
            <w:pPr>
              <w:rPr>
                <w:rFonts w:ascii="Arial" w:eastAsia="Calibri" w:hAnsi="Arial" w:cs="Arial"/>
                <w:color w:val="000000"/>
              </w:rPr>
            </w:pPr>
            <w:r>
              <w:rPr>
                <w:rFonts w:ascii="Arial" w:eastAsia="Calibri" w:hAnsi="Arial" w:cs="Arial"/>
                <w:color w:val="000000"/>
              </w:rPr>
              <w:t>DCOA’s Community Transition, Social Work, and Information and Referral/Assistance teams further assist with community transitions by providing consultation (discussion of</w:t>
            </w:r>
            <w:r w:rsidR="00121410">
              <w:rPr>
                <w:rFonts w:ascii="Arial" w:eastAsia="Calibri" w:hAnsi="Arial" w:cs="Arial"/>
                <w:color w:val="000000"/>
              </w:rPr>
              <w:t xml:space="preserve"> long term care</w:t>
            </w:r>
            <w:r>
              <w:rPr>
                <w:rFonts w:ascii="Arial" w:eastAsia="Calibri" w:hAnsi="Arial" w:cs="Arial"/>
                <w:color w:val="000000"/>
              </w:rPr>
              <w:t xml:space="preserve"> options, information, and assistance) on both nursing home transitions and hospital discharges. DCOA </w:t>
            </w:r>
            <w:r>
              <w:rPr>
                <w:rFonts w:ascii="Arial" w:eastAsia="Calibri" w:hAnsi="Arial" w:cs="Arial"/>
                <w:color w:val="000000"/>
              </w:rPr>
              <w:lastRenderedPageBreak/>
              <w:t>has a</w:t>
            </w:r>
            <w:r w:rsidR="00121410">
              <w:rPr>
                <w:rFonts w:ascii="Arial" w:eastAsia="Calibri" w:hAnsi="Arial" w:cs="Arial"/>
                <w:color w:val="000000"/>
              </w:rPr>
              <w:t>n annual</w:t>
            </w:r>
            <w:r>
              <w:rPr>
                <w:rFonts w:ascii="Arial" w:eastAsia="Calibri" w:hAnsi="Arial" w:cs="Arial"/>
                <w:color w:val="000000"/>
              </w:rPr>
              <w:t xml:space="preserve"> goal of offering </w:t>
            </w:r>
            <w:r w:rsidR="00FB4BE9">
              <w:rPr>
                <w:rFonts w:ascii="Arial" w:eastAsia="Calibri" w:hAnsi="Arial" w:cs="Arial"/>
                <w:color w:val="000000"/>
              </w:rPr>
              <w:t xml:space="preserve">transition </w:t>
            </w:r>
            <w:r>
              <w:rPr>
                <w:rFonts w:ascii="Arial" w:eastAsia="Calibri" w:hAnsi="Arial" w:cs="Arial"/>
                <w:color w:val="000000"/>
              </w:rPr>
              <w:t xml:space="preserve">consultation assistance to at least 200 inquirers, including DC residents, caregivers, family members, professionals, and other stakeholders. </w:t>
            </w:r>
          </w:p>
          <w:p w14:paraId="71EE49A3" w14:textId="77777777" w:rsidR="00B54AE2" w:rsidRDefault="00B54AE2" w:rsidP="001B2592">
            <w:pPr>
              <w:rPr>
                <w:rFonts w:ascii="Arial" w:eastAsia="Calibri" w:hAnsi="Arial" w:cs="Arial"/>
                <w:color w:val="000000"/>
              </w:rPr>
            </w:pPr>
          </w:p>
          <w:p w14:paraId="5D8BF4D0" w14:textId="77777777" w:rsidR="007853E9" w:rsidRDefault="00B54AE2" w:rsidP="001B2592">
            <w:pPr>
              <w:rPr>
                <w:rFonts w:ascii="Arial" w:eastAsia="Calibri" w:hAnsi="Arial" w:cs="Arial"/>
                <w:color w:val="000000"/>
              </w:rPr>
            </w:pPr>
            <w:r>
              <w:rPr>
                <w:rFonts w:ascii="Arial" w:eastAsia="Calibri" w:hAnsi="Arial" w:cs="Arial"/>
                <w:color w:val="000000"/>
              </w:rPr>
              <w:t>During the months of January to March 2016 (Quarter 1), DCOA p</w:t>
            </w:r>
            <w:r w:rsidR="00121410">
              <w:rPr>
                <w:rFonts w:ascii="Arial" w:eastAsia="Calibri" w:hAnsi="Arial" w:cs="Arial"/>
                <w:color w:val="000000"/>
              </w:rPr>
              <w:t>rovided 56</w:t>
            </w:r>
            <w:r>
              <w:rPr>
                <w:rFonts w:ascii="Arial" w:eastAsia="Calibri" w:hAnsi="Arial" w:cs="Arial"/>
                <w:color w:val="000000"/>
              </w:rPr>
              <w:t xml:space="preserve"> consultations to or regarding people in nursing facilities, with stays under 90 days (did not meet eligibility requirements for DCOA Community Transitions); and </w:t>
            </w:r>
            <w:r w:rsidR="00121410">
              <w:rPr>
                <w:rFonts w:ascii="Arial" w:eastAsia="Calibri" w:hAnsi="Arial" w:cs="Arial"/>
                <w:color w:val="000000"/>
              </w:rPr>
              <w:t>7</w:t>
            </w:r>
            <w:r w:rsidR="00FB4BE9">
              <w:rPr>
                <w:rFonts w:ascii="Arial" w:eastAsia="Calibri" w:hAnsi="Arial" w:cs="Arial"/>
                <w:color w:val="000000"/>
              </w:rPr>
              <w:t xml:space="preserve"> consultations to or regarding people experiencing any length of hospital stay, seeking assistance with hospital discharge.</w:t>
            </w:r>
            <w:r w:rsidR="00121410">
              <w:rPr>
                <w:rFonts w:ascii="Arial" w:eastAsia="Calibri" w:hAnsi="Arial" w:cs="Arial"/>
                <w:color w:val="000000"/>
              </w:rPr>
              <w:t xml:space="preserve"> </w:t>
            </w:r>
          </w:p>
          <w:p w14:paraId="5D3BC07A" w14:textId="77777777" w:rsidR="007853E9" w:rsidRDefault="007853E9" w:rsidP="001B2592">
            <w:pPr>
              <w:rPr>
                <w:rFonts w:ascii="Arial" w:eastAsia="Calibri" w:hAnsi="Arial" w:cs="Arial"/>
                <w:color w:val="000000"/>
              </w:rPr>
            </w:pPr>
          </w:p>
          <w:p w14:paraId="5853FE42" w14:textId="77777777" w:rsidR="00B54AE2" w:rsidRDefault="00121410" w:rsidP="001B2592">
            <w:pPr>
              <w:rPr>
                <w:rFonts w:ascii="Arial" w:eastAsia="Calibri" w:hAnsi="Arial" w:cs="Arial"/>
                <w:color w:val="000000"/>
              </w:rPr>
            </w:pPr>
            <w:r>
              <w:rPr>
                <w:rFonts w:ascii="Arial" w:eastAsia="Calibri" w:hAnsi="Arial" w:cs="Arial"/>
                <w:color w:val="000000"/>
              </w:rPr>
              <w:t xml:space="preserve">DCOA received fewer inquiries about hospital discharge than anticipated, potentially due to a meeting </w:t>
            </w:r>
            <w:r w:rsidR="007853E9">
              <w:rPr>
                <w:rFonts w:ascii="Arial" w:eastAsia="Calibri" w:hAnsi="Arial" w:cs="Arial"/>
                <w:color w:val="000000"/>
              </w:rPr>
              <w:t>with hospital social workers,</w:t>
            </w:r>
            <w:r>
              <w:rPr>
                <w:rFonts w:ascii="Arial" w:eastAsia="Calibri" w:hAnsi="Arial" w:cs="Arial"/>
                <w:color w:val="000000"/>
              </w:rPr>
              <w:t xml:space="preserve"> administrators</w:t>
            </w:r>
            <w:r w:rsidR="007853E9">
              <w:rPr>
                <w:rFonts w:ascii="Arial" w:eastAsia="Calibri" w:hAnsi="Arial" w:cs="Arial"/>
                <w:color w:val="000000"/>
              </w:rPr>
              <w:t>, DC Department of Health and the DC Hospital Association</w:t>
            </w:r>
            <w:r>
              <w:rPr>
                <w:rFonts w:ascii="Arial" w:eastAsia="Calibri" w:hAnsi="Arial" w:cs="Arial"/>
                <w:color w:val="000000"/>
              </w:rPr>
              <w:t xml:space="preserve"> in </w:t>
            </w:r>
            <w:r w:rsidR="00ED4E92">
              <w:rPr>
                <w:rFonts w:ascii="Arial" w:eastAsia="Calibri" w:hAnsi="Arial" w:cs="Arial"/>
                <w:color w:val="000000"/>
              </w:rPr>
              <w:t>March</w:t>
            </w:r>
            <w:r>
              <w:rPr>
                <w:rFonts w:ascii="Arial" w:eastAsia="Calibri" w:hAnsi="Arial" w:cs="Arial"/>
                <w:color w:val="000000"/>
              </w:rPr>
              <w:t xml:space="preserve"> 2016</w:t>
            </w:r>
            <w:r w:rsidR="007853E9">
              <w:rPr>
                <w:rFonts w:ascii="Arial" w:eastAsia="Calibri" w:hAnsi="Arial" w:cs="Arial"/>
                <w:color w:val="000000"/>
              </w:rPr>
              <w:t>,</w:t>
            </w:r>
            <w:r>
              <w:rPr>
                <w:rFonts w:ascii="Arial" w:eastAsia="Calibri" w:hAnsi="Arial" w:cs="Arial"/>
                <w:color w:val="000000"/>
              </w:rPr>
              <w:t xml:space="preserve"> to explain DCOA’s shift from </w:t>
            </w:r>
            <w:r w:rsidR="007853E9">
              <w:rPr>
                <w:rFonts w:ascii="Arial" w:eastAsia="Calibri" w:hAnsi="Arial" w:cs="Arial"/>
                <w:color w:val="000000"/>
              </w:rPr>
              <w:t xml:space="preserve">offering </w:t>
            </w:r>
            <w:r>
              <w:rPr>
                <w:rFonts w:ascii="Arial" w:eastAsia="Calibri" w:hAnsi="Arial" w:cs="Arial"/>
                <w:color w:val="000000"/>
              </w:rPr>
              <w:t>a hospital discharge program in which</w:t>
            </w:r>
            <w:r w:rsidR="007853E9">
              <w:rPr>
                <w:rFonts w:ascii="Arial" w:eastAsia="Calibri" w:hAnsi="Arial" w:cs="Arial"/>
                <w:color w:val="000000"/>
              </w:rPr>
              <w:t xml:space="preserve"> two</w:t>
            </w:r>
            <w:r>
              <w:rPr>
                <w:rFonts w:ascii="Arial" w:eastAsia="Calibri" w:hAnsi="Arial" w:cs="Arial"/>
                <w:color w:val="000000"/>
              </w:rPr>
              <w:t xml:space="preserve"> </w:t>
            </w:r>
            <w:r w:rsidR="007853E9">
              <w:rPr>
                <w:rFonts w:ascii="Arial" w:eastAsia="Calibri" w:hAnsi="Arial" w:cs="Arial"/>
                <w:color w:val="000000"/>
              </w:rPr>
              <w:t>DCOA social workers took on case</w:t>
            </w:r>
            <w:r>
              <w:rPr>
                <w:rFonts w:ascii="Arial" w:eastAsia="Calibri" w:hAnsi="Arial" w:cs="Arial"/>
                <w:color w:val="000000"/>
              </w:rPr>
              <w:t>load</w:t>
            </w:r>
            <w:r w:rsidR="007853E9">
              <w:rPr>
                <w:rFonts w:ascii="Arial" w:eastAsia="Calibri" w:hAnsi="Arial" w:cs="Arial"/>
                <w:color w:val="000000"/>
              </w:rPr>
              <w:t>s</w:t>
            </w:r>
            <w:r>
              <w:rPr>
                <w:rFonts w:ascii="Arial" w:eastAsia="Calibri" w:hAnsi="Arial" w:cs="Arial"/>
                <w:color w:val="000000"/>
              </w:rPr>
              <w:t xml:space="preserve"> of very complex hospital discharge clients, to consultant-only assistance</w:t>
            </w:r>
            <w:r w:rsidR="007853E9">
              <w:rPr>
                <w:rFonts w:ascii="Arial" w:eastAsia="Calibri" w:hAnsi="Arial" w:cs="Arial"/>
                <w:color w:val="000000"/>
              </w:rPr>
              <w:t xml:space="preserve"> with discharges</w:t>
            </w:r>
            <w:r>
              <w:rPr>
                <w:rFonts w:ascii="Arial" w:eastAsia="Calibri" w:hAnsi="Arial" w:cs="Arial"/>
                <w:color w:val="000000"/>
              </w:rPr>
              <w:t xml:space="preserve">. This shift was a result of </w:t>
            </w:r>
            <w:r w:rsidR="007853E9">
              <w:rPr>
                <w:rFonts w:ascii="Arial" w:eastAsia="Calibri" w:hAnsi="Arial" w:cs="Arial"/>
                <w:color w:val="000000"/>
              </w:rPr>
              <w:t>federal funding ending for DCOA’s</w:t>
            </w:r>
            <w:r>
              <w:rPr>
                <w:rFonts w:ascii="Arial" w:eastAsia="Calibri" w:hAnsi="Arial" w:cs="Arial"/>
                <w:color w:val="000000"/>
              </w:rPr>
              <w:t xml:space="preserve"> Hospital Discharge program. In 2016, DCOA will work collaboratively on a discharge manual with hospitals, nursing facilities and other DC agencies to ensure we are using</w:t>
            </w:r>
            <w:r w:rsidR="007853E9">
              <w:rPr>
                <w:rFonts w:ascii="Arial" w:eastAsia="Calibri" w:hAnsi="Arial" w:cs="Arial"/>
                <w:color w:val="000000"/>
              </w:rPr>
              <w:t xml:space="preserve"> the most streamlined process for</w:t>
            </w:r>
            <w:r>
              <w:rPr>
                <w:rFonts w:ascii="Arial" w:eastAsia="Calibri" w:hAnsi="Arial" w:cs="Arial"/>
                <w:color w:val="000000"/>
              </w:rPr>
              <w:t xml:space="preserve"> discharge</w:t>
            </w:r>
            <w:r w:rsidR="007853E9">
              <w:rPr>
                <w:rFonts w:ascii="Arial" w:eastAsia="Calibri" w:hAnsi="Arial" w:cs="Arial"/>
                <w:color w:val="000000"/>
              </w:rPr>
              <w:t>s; stakeholders are educated on the home and community based services available;</w:t>
            </w:r>
            <w:r>
              <w:rPr>
                <w:rFonts w:ascii="Arial" w:eastAsia="Calibri" w:hAnsi="Arial" w:cs="Arial"/>
                <w:color w:val="000000"/>
              </w:rPr>
              <w:t xml:space="preserve"> and</w:t>
            </w:r>
            <w:r w:rsidR="007853E9">
              <w:rPr>
                <w:rFonts w:ascii="Arial" w:eastAsia="Calibri" w:hAnsi="Arial" w:cs="Arial"/>
                <w:color w:val="000000"/>
              </w:rPr>
              <w:t xml:space="preserve"> the</w:t>
            </w:r>
            <w:r w:rsidR="00393E2F">
              <w:rPr>
                <w:rFonts w:ascii="Arial" w:eastAsia="Calibri" w:hAnsi="Arial" w:cs="Arial"/>
                <w:color w:val="000000"/>
              </w:rPr>
              <w:t xml:space="preserve"> work </w:t>
            </w:r>
            <w:r w:rsidR="007853E9">
              <w:rPr>
                <w:rFonts w:ascii="Arial" w:eastAsia="Calibri" w:hAnsi="Arial" w:cs="Arial"/>
                <w:color w:val="000000"/>
              </w:rPr>
              <w:t xml:space="preserve">group </w:t>
            </w:r>
            <w:r w:rsidR="00393E2F">
              <w:rPr>
                <w:rFonts w:ascii="Arial" w:eastAsia="Calibri" w:hAnsi="Arial" w:cs="Arial"/>
                <w:color w:val="000000"/>
              </w:rPr>
              <w:t xml:space="preserve">is identifying and seeking solutions for </w:t>
            </w:r>
            <w:r>
              <w:rPr>
                <w:rFonts w:ascii="Arial" w:eastAsia="Calibri" w:hAnsi="Arial" w:cs="Arial"/>
                <w:color w:val="000000"/>
              </w:rPr>
              <w:t>any</w:t>
            </w:r>
            <w:r w:rsidR="00393E2F">
              <w:rPr>
                <w:rFonts w:ascii="Arial" w:eastAsia="Calibri" w:hAnsi="Arial" w:cs="Arial"/>
                <w:color w:val="000000"/>
              </w:rPr>
              <w:t xml:space="preserve"> service</w:t>
            </w:r>
            <w:r>
              <w:rPr>
                <w:rFonts w:ascii="Arial" w:eastAsia="Calibri" w:hAnsi="Arial" w:cs="Arial"/>
                <w:color w:val="000000"/>
              </w:rPr>
              <w:t xml:space="preserve"> gaps at the District level (see below for more information).</w:t>
            </w:r>
          </w:p>
          <w:p w14:paraId="294E0012" w14:textId="77777777" w:rsidR="00B54AE2" w:rsidRDefault="00B54AE2" w:rsidP="001B2592">
            <w:pPr>
              <w:rPr>
                <w:rFonts w:ascii="Arial" w:eastAsia="Calibri" w:hAnsi="Arial" w:cs="Arial"/>
                <w:color w:val="000000"/>
              </w:rPr>
            </w:pPr>
          </w:p>
          <w:p w14:paraId="30658111" w14:textId="77777777" w:rsidR="00B54AE2" w:rsidRPr="00B54AE2" w:rsidRDefault="00B54AE2" w:rsidP="001B2592">
            <w:pPr>
              <w:rPr>
                <w:rFonts w:ascii="Arial" w:eastAsia="Calibri" w:hAnsi="Arial" w:cs="Arial"/>
                <w:color w:val="000000"/>
              </w:rPr>
            </w:pPr>
            <w:r>
              <w:rPr>
                <w:rFonts w:ascii="Arial" w:eastAsia="Calibri" w:hAnsi="Arial" w:cs="Arial"/>
                <w:color w:val="000000"/>
              </w:rPr>
              <w:t>As of the clo</w:t>
            </w:r>
            <w:r w:rsidR="00393E2F">
              <w:rPr>
                <w:rFonts w:ascii="Arial" w:eastAsia="Calibri" w:hAnsi="Arial" w:cs="Arial"/>
                <w:color w:val="000000"/>
              </w:rPr>
              <w:t xml:space="preserve">se of Quarter 1, DCOA reached </w:t>
            </w:r>
            <w:r w:rsidR="001D112A">
              <w:rPr>
                <w:rFonts w:ascii="Arial" w:eastAsia="Calibri" w:hAnsi="Arial" w:cs="Arial"/>
                <w:color w:val="000000"/>
              </w:rPr>
              <w:t>31.5</w:t>
            </w:r>
            <w:r>
              <w:rPr>
                <w:rFonts w:ascii="Arial" w:eastAsia="Calibri" w:hAnsi="Arial" w:cs="Arial"/>
                <w:color w:val="000000"/>
              </w:rPr>
              <w:t xml:space="preserve">% of its transition consultation goal. </w:t>
            </w:r>
          </w:p>
          <w:p w14:paraId="41152A70" w14:textId="77777777" w:rsidR="007B4549" w:rsidRDefault="007B4549" w:rsidP="00730650">
            <w:pPr>
              <w:rPr>
                <w:rFonts w:ascii="Arial" w:eastAsia="Calibri" w:hAnsi="Arial" w:cs="Arial"/>
                <w:b/>
                <w:color w:val="000000"/>
              </w:rPr>
            </w:pPr>
          </w:p>
          <w:p w14:paraId="6409EC8B" w14:textId="77777777" w:rsidR="00ED4E92" w:rsidRDefault="00ED4E92" w:rsidP="00730650">
            <w:pPr>
              <w:rPr>
                <w:rFonts w:ascii="Arial" w:eastAsia="Calibri" w:hAnsi="Arial" w:cs="Arial"/>
                <w:b/>
                <w:color w:val="000000"/>
              </w:rPr>
            </w:pPr>
          </w:p>
          <w:p w14:paraId="6BC472E0" w14:textId="77777777" w:rsidR="00ED4E92" w:rsidRDefault="00ED4E92" w:rsidP="00730650">
            <w:pPr>
              <w:rPr>
                <w:rFonts w:ascii="Arial" w:eastAsia="Calibri" w:hAnsi="Arial" w:cs="Arial"/>
                <w:b/>
                <w:color w:val="000000"/>
              </w:rPr>
            </w:pPr>
          </w:p>
          <w:p w14:paraId="6A77E82B" w14:textId="77777777" w:rsidR="00ED4E92" w:rsidRDefault="00ED4E92" w:rsidP="00730650">
            <w:pPr>
              <w:rPr>
                <w:rFonts w:ascii="Arial" w:eastAsia="Calibri" w:hAnsi="Arial" w:cs="Arial"/>
                <w:b/>
                <w:color w:val="000000"/>
              </w:rPr>
            </w:pPr>
          </w:p>
          <w:p w14:paraId="1512AFF0" w14:textId="77777777" w:rsidR="00ED4E92" w:rsidRDefault="00ED4E92" w:rsidP="00730650">
            <w:pPr>
              <w:rPr>
                <w:rFonts w:ascii="Arial" w:eastAsia="Calibri" w:hAnsi="Arial" w:cs="Arial"/>
                <w:b/>
                <w:color w:val="000000"/>
              </w:rPr>
            </w:pPr>
          </w:p>
          <w:p w14:paraId="08F43666" w14:textId="77777777" w:rsidR="00ED4E92" w:rsidRDefault="00ED4E92" w:rsidP="00730650">
            <w:pPr>
              <w:rPr>
                <w:rFonts w:ascii="Arial" w:eastAsia="Calibri" w:hAnsi="Arial" w:cs="Arial"/>
                <w:b/>
                <w:color w:val="000000"/>
              </w:rPr>
            </w:pPr>
          </w:p>
          <w:p w14:paraId="1BD7A0FA" w14:textId="77777777" w:rsidR="00ED4E92" w:rsidRDefault="00ED4E92" w:rsidP="00730650">
            <w:pPr>
              <w:rPr>
                <w:rFonts w:ascii="Arial" w:eastAsia="Calibri" w:hAnsi="Arial" w:cs="Arial"/>
                <w:b/>
                <w:color w:val="000000"/>
              </w:rPr>
            </w:pPr>
          </w:p>
          <w:p w14:paraId="3A4759F5" w14:textId="77777777" w:rsidR="00ED4E92" w:rsidRDefault="00ED4E92" w:rsidP="00730650">
            <w:pPr>
              <w:rPr>
                <w:rFonts w:ascii="Arial" w:eastAsia="Calibri" w:hAnsi="Arial" w:cs="Arial"/>
                <w:b/>
                <w:color w:val="000000"/>
              </w:rPr>
            </w:pPr>
          </w:p>
          <w:p w14:paraId="5E52DC40" w14:textId="77777777" w:rsidR="00ED4E92" w:rsidRDefault="00ED4E92" w:rsidP="00730650">
            <w:pPr>
              <w:rPr>
                <w:rFonts w:ascii="Arial" w:eastAsia="Calibri" w:hAnsi="Arial" w:cs="Arial"/>
                <w:b/>
                <w:color w:val="000000"/>
              </w:rPr>
            </w:pPr>
          </w:p>
          <w:p w14:paraId="2BD871B2" w14:textId="77777777" w:rsidR="00ED4E92" w:rsidRDefault="00ED4E92" w:rsidP="00730650">
            <w:pPr>
              <w:rPr>
                <w:rFonts w:ascii="Arial" w:eastAsia="Calibri" w:hAnsi="Arial" w:cs="Arial"/>
                <w:b/>
                <w:color w:val="000000"/>
              </w:rPr>
            </w:pPr>
          </w:p>
          <w:p w14:paraId="298E8977" w14:textId="77777777" w:rsidR="00ED4E92" w:rsidRDefault="00ED4E92" w:rsidP="00730650">
            <w:pPr>
              <w:rPr>
                <w:rFonts w:ascii="Arial" w:eastAsia="Calibri" w:hAnsi="Arial" w:cs="Arial"/>
                <w:b/>
                <w:color w:val="000000"/>
              </w:rPr>
            </w:pPr>
          </w:p>
          <w:p w14:paraId="5C3C5EDD" w14:textId="77777777" w:rsidR="007B4549" w:rsidRDefault="007B4549" w:rsidP="00730650">
            <w:pPr>
              <w:rPr>
                <w:rFonts w:ascii="Arial" w:eastAsia="Calibri" w:hAnsi="Arial" w:cs="Arial"/>
                <w:b/>
                <w:color w:val="000000"/>
              </w:rPr>
            </w:pPr>
            <w:r>
              <w:rPr>
                <w:rFonts w:ascii="Arial" w:eastAsia="Calibri" w:hAnsi="Arial" w:cs="Arial"/>
                <w:b/>
                <w:color w:val="000000"/>
              </w:rPr>
              <w:lastRenderedPageBreak/>
              <w:t>Narrative here provides descriptions of agency programs, initiatives, and services designed to foster community integration.  Agencies should organize narrative un</w:t>
            </w:r>
            <w:r w:rsidR="00FF1991">
              <w:rPr>
                <w:rFonts w:ascii="Arial" w:eastAsia="Calibri" w:hAnsi="Arial" w:cs="Arial"/>
                <w:b/>
                <w:color w:val="000000"/>
              </w:rPr>
              <w:t>d</w:t>
            </w:r>
            <w:r>
              <w:rPr>
                <w:rFonts w:ascii="Arial" w:eastAsia="Calibri" w:hAnsi="Arial" w:cs="Arial"/>
                <w:b/>
                <w:color w:val="000000"/>
              </w:rPr>
              <w:t>er the following headings with the 9 priorities of the 2016 Plan in mind.</w:t>
            </w:r>
          </w:p>
          <w:p w14:paraId="13102CD0" w14:textId="77777777" w:rsidR="00FB4BE9" w:rsidRDefault="00FB4BE9" w:rsidP="00730650">
            <w:pPr>
              <w:rPr>
                <w:rFonts w:ascii="Arial" w:eastAsia="Calibri" w:hAnsi="Arial" w:cs="Arial"/>
                <w:b/>
                <w:color w:val="000000"/>
              </w:rPr>
            </w:pPr>
          </w:p>
          <w:p w14:paraId="6E93E9F2" w14:textId="77777777" w:rsidR="00773F5D" w:rsidRDefault="001B2592" w:rsidP="00730650">
            <w:pPr>
              <w:rPr>
                <w:rFonts w:ascii="Arial" w:eastAsia="Calibri" w:hAnsi="Arial" w:cs="Arial"/>
                <w:color w:val="000000"/>
              </w:rPr>
            </w:pPr>
            <w:r>
              <w:rPr>
                <w:rFonts w:ascii="Arial" w:eastAsia="Calibri" w:hAnsi="Arial" w:cs="Arial"/>
                <w:color w:val="000000"/>
              </w:rPr>
              <w:t>The following responses include priority areas on which D</w:t>
            </w:r>
            <w:r w:rsidR="00FB4BE9">
              <w:rPr>
                <w:rFonts w:ascii="Arial" w:eastAsia="Calibri" w:hAnsi="Arial" w:cs="Arial"/>
                <w:color w:val="000000"/>
              </w:rPr>
              <w:t xml:space="preserve">COA is one of the </w:t>
            </w:r>
            <w:r w:rsidR="00393E2F">
              <w:rPr>
                <w:rFonts w:ascii="Arial" w:eastAsia="Calibri" w:hAnsi="Arial" w:cs="Arial"/>
                <w:color w:val="000000"/>
              </w:rPr>
              <w:t xml:space="preserve">primary </w:t>
            </w:r>
            <w:r w:rsidR="00FB4BE9">
              <w:rPr>
                <w:rFonts w:ascii="Arial" w:eastAsia="Calibri" w:hAnsi="Arial" w:cs="Arial"/>
                <w:color w:val="000000"/>
              </w:rPr>
              <w:t>agencies</w:t>
            </w:r>
            <w:r w:rsidR="00393E2F">
              <w:rPr>
                <w:rFonts w:ascii="Arial" w:eastAsia="Calibri" w:hAnsi="Arial" w:cs="Arial"/>
                <w:color w:val="000000"/>
              </w:rPr>
              <w:t xml:space="preserve"> responsible</w:t>
            </w:r>
            <w:r w:rsidR="00FB4BE9">
              <w:rPr>
                <w:rFonts w:ascii="Arial" w:eastAsia="Calibri" w:hAnsi="Arial" w:cs="Arial"/>
                <w:color w:val="000000"/>
              </w:rPr>
              <w:t>:</w:t>
            </w:r>
          </w:p>
          <w:p w14:paraId="3B82E692" w14:textId="77777777" w:rsidR="001B2592" w:rsidRPr="001B2592" w:rsidRDefault="001B2592" w:rsidP="00730650">
            <w:pPr>
              <w:rPr>
                <w:rFonts w:ascii="Arial" w:eastAsia="Calibri" w:hAnsi="Arial" w:cs="Arial"/>
                <w:color w:val="000000"/>
              </w:rPr>
            </w:pPr>
          </w:p>
          <w:p w14:paraId="27D43A0B" w14:textId="77777777" w:rsidR="00BF7928" w:rsidRPr="00773F5D" w:rsidRDefault="009D2D21" w:rsidP="001B2592">
            <w:pPr>
              <w:rPr>
                <w:rFonts w:ascii="Arial" w:hAnsi="Arial" w:cs="Arial"/>
                <w:b/>
                <w:u w:val="single"/>
              </w:rPr>
            </w:pPr>
            <w:r w:rsidRPr="00773F5D">
              <w:rPr>
                <w:rFonts w:ascii="Arial" w:hAnsi="Arial" w:cs="Arial"/>
                <w:b/>
                <w:u w:val="single"/>
              </w:rPr>
              <w:t>Quality of Institutional and Community-Based Providers</w:t>
            </w:r>
          </w:p>
          <w:p w14:paraId="13C38B05" w14:textId="77777777" w:rsidR="001B2592" w:rsidRDefault="00773F5D" w:rsidP="001B2592">
            <w:pPr>
              <w:rPr>
                <w:rFonts w:ascii="Arial" w:hAnsi="Arial" w:cs="Arial"/>
                <w:b/>
              </w:rPr>
            </w:pPr>
            <w:r w:rsidRPr="00773F5D">
              <w:rPr>
                <w:rFonts w:ascii="Arial" w:hAnsi="Arial" w:cs="Arial"/>
                <w:b/>
              </w:rPr>
              <w:t>Assess and reduce duplication of services offered by Medicaid and DCOA</w:t>
            </w:r>
            <w:r w:rsidR="00FB4BE9">
              <w:rPr>
                <w:rFonts w:ascii="Arial" w:hAnsi="Arial" w:cs="Arial"/>
                <w:b/>
              </w:rPr>
              <w:t>.</w:t>
            </w:r>
          </w:p>
          <w:p w14:paraId="4FB8FC2F" w14:textId="77777777" w:rsidR="00903737" w:rsidRDefault="007853E9" w:rsidP="001B2592">
            <w:pPr>
              <w:rPr>
                <w:rFonts w:ascii="Arial" w:hAnsi="Arial" w:cs="Arial"/>
              </w:rPr>
            </w:pPr>
            <w:r>
              <w:rPr>
                <w:rFonts w:ascii="Arial" w:hAnsi="Arial" w:cs="Arial"/>
              </w:rPr>
              <w:t xml:space="preserve">This quarter, </w:t>
            </w:r>
            <w:r w:rsidR="007A4AF6">
              <w:rPr>
                <w:rFonts w:ascii="Arial" w:hAnsi="Arial" w:cs="Arial"/>
              </w:rPr>
              <w:t>DCOA</w:t>
            </w:r>
            <w:r>
              <w:rPr>
                <w:rFonts w:ascii="Arial" w:hAnsi="Arial" w:cs="Arial"/>
              </w:rPr>
              <w:t xml:space="preserve"> began</w:t>
            </w:r>
            <w:r w:rsidR="007A4AF6">
              <w:rPr>
                <w:rFonts w:ascii="Arial" w:hAnsi="Arial" w:cs="Arial"/>
              </w:rPr>
              <w:t xml:space="preserve"> work on streamlining Case Management</w:t>
            </w:r>
            <w:r>
              <w:rPr>
                <w:rFonts w:ascii="Arial" w:hAnsi="Arial" w:cs="Arial"/>
              </w:rPr>
              <w:t xml:space="preserve"> for older adults and people with disabilities by analyzing the similarities and differences among the three main types of case management </w:t>
            </w:r>
            <w:r w:rsidR="00903737">
              <w:rPr>
                <w:rFonts w:ascii="Arial" w:hAnsi="Arial" w:cs="Arial"/>
              </w:rPr>
              <w:t>used by our key populations</w:t>
            </w:r>
            <w:r>
              <w:rPr>
                <w:rFonts w:ascii="Arial" w:hAnsi="Arial" w:cs="Arial"/>
              </w:rPr>
              <w:t xml:space="preserve">: </w:t>
            </w:r>
          </w:p>
          <w:p w14:paraId="06AF67DA" w14:textId="77777777" w:rsidR="00181F5D" w:rsidRDefault="00181F5D" w:rsidP="001B2592">
            <w:pPr>
              <w:rPr>
                <w:rFonts w:ascii="Arial" w:hAnsi="Arial" w:cs="Arial"/>
              </w:rPr>
            </w:pPr>
          </w:p>
          <w:p w14:paraId="122FC255" w14:textId="77777777" w:rsidR="00903737" w:rsidRDefault="007853E9" w:rsidP="00903737">
            <w:pPr>
              <w:pStyle w:val="ListParagraph"/>
              <w:numPr>
                <w:ilvl w:val="0"/>
                <w:numId w:val="10"/>
              </w:numPr>
              <w:rPr>
                <w:rFonts w:ascii="Arial" w:hAnsi="Arial" w:cs="Arial"/>
              </w:rPr>
            </w:pPr>
            <w:r w:rsidRPr="00903737">
              <w:rPr>
                <w:rFonts w:ascii="Arial" w:hAnsi="Arial" w:cs="Arial"/>
              </w:rPr>
              <w:t xml:space="preserve">DCOA-funded case management provided by our grantees in the Senior Service Network to older adults (ages 60 and over); </w:t>
            </w:r>
          </w:p>
          <w:p w14:paraId="4D3EE9D4" w14:textId="77777777" w:rsidR="00903737" w:rsidRDefault="007853E9" w:rsidP="00903737">
            <w:pPr>
              <w:pStyle w:val="ListParagraph"/>
              <w:numPr>
                <w:ilvl w:val="0"/>
                <w:numId w:val="10"/>
              </w:numPr>
              <w:rPr>
                <w:rFonts w:ascii="Arial" w:hAnsi="Arial" w:cs="Arial"/>
              </w:rPr>
            </w:pPr>
            <w:r w:rsidRPr="00903737">
              <w:rPr>
                <w:rFonts w:ascii="Arial" w:hAnsi="Arial" w:cs="Arial"/>
              </w:rPr>
              <w:t xml:space="preserve">DCOA-funded case management provided by ADRC social workers to DC residents with disabilities (ages 18-59 years); and </w:t>
            </w:r>
          </w:p>
          <w:p w14:paraId="019D57A4" w14:textId="77777777" w:rsidR="007A4AF6" w:rsidRPr="00903737" w:rsidRDefault="00903737" w:rsidP="00903737">
            <w:pPr>
              <w:pStyle w:val="ListParagraph"/>
              <w:numPr>
                <w:ilvl w:val="0"/>
                <w:numId w:val="10"/>
              </w:numPr>
              <w:rPr>
                <w:rFonts w:ascii="Arial" w:hAnsi="Arial" w:cs="Arial"/>
              </w:rPr>
            </w:pPr>
            <w:r>
              <w:rPr>
                <w:rFonts w:ascii="Arial" w:hAnsi="Arial" w:cs="Arial"/>
              </w:rPr>
              <w:t xml:space="preserve">Medicaid-funded </w:t>
            </w:r>
            <w:r w:rsidR="007853E9" w:rsidRPr="00903737">
              <w:rPr>
                <w:rFonts w:ascii="Arial" w:hAnsi="Arial" w:cs="Arial"/>
              </w:rPr>
              <w:t>EPD Wai</w:t>
            </w:r>
            <w:r>
              <w:rPr>
                <w:rFonts w:ascii="Arial" w:hAnsi="Arial" w:cs="Arial"/>
              </w:rPr>
              <w:t xml:space="preserve">ver case management provided to both older adults and people with disabilities who meet the level of care and financial </w:t>
            </w:r>
            <w:r w:rsidR="00591997">
              <w:rPr>
                <w:rFonts w:ascii="Arial" w:hAnsi="Arial" w:cs="Arial"/>
              </w:rPr>
              <w:t xml:space="preserve">eligibility for the EPD Waiver. </w:t>
            </w:r>
            <w:r>
              <w:rPr>
                <w:rFonts w:ascii="Arial" w:hAnsi="Arial" w:cs="Arial"/>
              </w:rPr>
              <w:t xml:space="preserve"> </w:t>
            </w:r>
          </w:p>
          <w:p w14:paraId="0C37D818" w14:textId="77777777" w:rsidR="007853E9" w:rsidRDefault="007853E9" w:rsidP="001B2592">
            <w:pPr>
              <w:rPr>
                <w:rFonts w:ascii="Arial" w:hAnsi="Arial" w:cs="Arial"/>
              </w:rPr>
            </w:pPr>
          </w:p>
          <w:p w14:paraId="5569B5F5" w14:textId="77777777" w:rsidR="00255CEE" w:rsidRDefault="00591997" w:rsidP="001B2592">
            <w:pPr>
              <w:rPr>
                <w:rFonts w:ascii="Arial" w:hAnsi="Arial" w:cs="Arial"/>
              </w:rPr>
            </w:pPr>
            <w:r>
              <w:rPr>
                <w:rFonts w:ascii="Arial" w:hAnsi="Arial" w:cs="Arial"/>
              </w:rPr>
              <w:t xml:space="preserve">DCOA initiated a conversation about streamlining the different types of case management with DHCF’s </w:t>
            </w:r>
            <w:r w:rsidR="00393E2F">
              <w:rPr>
                <w:rFonts w:ascii="Arial" w:hAnsi="Arial" w:cs="Arial"/>
              </w:rPr>
              <w:t xml:space="preserve">Medicaid Director, </w:t>
            </w:r>
            <w:r>
              <w:rPr>
                <w:rFonts w:ascii="Arial" w:hAnsi="Arial" w:cs="Arial"/>
              </w:rPr>
              <w:t>Long Term Care Administration Director, EPD Waiver Director, and other DHCF staff members to develop ideas on how best to provide streamlined case management services without duplicating effort and funds. One of the key areas of focus for both agencies</w:t>
            </w:r>
            <w:r w:rsidR="00255CEE">
              <w:rPr>
                <w:rFonts w:ascii="Arial" w:hAnsi="Arial" w:cs="Arial"/>
              </w:rPr>
              <w:t xml:space="preserve"> over the past six months</w:t>
            </w:r>
            <w:r>
              <w:rPr>
                <w:rFonts w:ascii="Arial" w:hAnsi="Arial" w:cs="Arial"/>
              </w:rPr>
              <w:t xml:space="preserve">, is assisting DCOA’s lead agencies in building on their current responsibility of Older American’s Act/DCOA-funded case management, to include case management of EPD Waiver beneficiaries. </w:t>
            </w:r>
          </w:p>
          <w:p w14:paraId="537667E9" w14:textId="77777777" w:rsidR="00255CEE" w:rsidRDefault="00255CEE" w:rsidP="001B2592">
            <w:pPr>
              <w:rPr>
                <w:rFonts w:ascii="Arial" w:hAnsi="Arial" w:cs="Arial"/>
              </w:rPr>
            </w:pPr>
          </w:p>
          <w:p w14:paraId="007D2705" w14:textId="77777777" w:rsidR="00591997" w:rsidRDefault="00591997" w:rsidP="001B2592">
            <w:pPr>
              <w:rPr>
                <w:rFonts w:ascii="Arial" w:hAnsi="Arial" w:cs="Arial"/>
              </w:rPr>
            </w:pPr>
            <w:r>
              <w:rPr>
                <w:rFonts w:ascii="Arial" w:hAnsi="Arial" w:cs="Arial"/>
              </w:rPr>
              <w:t xml:space="preserve">This would </w:t>
            </w:r>
            <w:r w:rsidR="00393E2F">
              <w:rPr>
                <w:rFonts w:ascii="Arial" w:hAnsi="Arial" w:cs="Arial"/>
              </w:rPr>
              <w:t>require that</w:t>
            </w:r>
            <w:r>
              <w:rPr>
                <w:rFonts w:ascii="Arial" w:hAnsi="Arial" w:cs="Arial"/>
              </w:rPr>
              <w:t xml:space="preserve"> each lead</w:t>
            </w:r>
            <w:r w:rsidR="00393E2F">
              <w:rPr>
                <w:rFonts w:ascii="Arial" w:hAnsi="Arial" w:cs="Arial"/>
              </w:rPr>
              <w:t xml:space="preserve"> agency (DCOA grantees) become</w:t>
            </w:r>
            <w:r>
              <w:rPr>
                <w:rFonts w:ascii="Arial" w:hAnsi="Arial" w:cs="Arial"/>
              </w:rPr>
              <w:t xml:space="preserve"> a Medicaid case management provider, which </w:t>
            </w:r>
            <w:r w:rsidR="00255CEE">
              <w:rPr>
                <w:rFonts w:ascii="Arial" w:hAnsi="Arial" w:cs="Arial"/>
              </w:rPr>
              <w:t>would</w:t>
            </w:r>
            <w:r>
              <w:rPr>
                <w:rFonts w:ascii="Arial" w:hAnsi="Arial" w:cs="Arial"/>
              </w:rPr>
              <w:t xml:space="preserve"> significantly increase the number of high quality EPD case management agencies in the Distr</w:t>
            </w:r>
            <w:r w:rsidR="00255CEE">
              <w:rPr>
                <w:rFonts w:ascii="Arial" w:hAnsi="Arial" w:cs="Arial"/>
              </w:rPr>
              <w:t>ict; and</w:t>
            </w:r>
            <w:r>
              <w:rPr>
                <w:rFonts w:ascii="Arial" w:hAnsi="Arial" w:cs="Arial"/>
              </w:rPr>
              <w:t xml:space="preserve"> </w:t>
            </w:r>
            <w:r>
              <w:rPr>
                <w:rFonts w:ascii="Arial" w:hAnsi="Arial" w:cs="Arial"/>
              </w:rPr>
              <w:lastRenderedPageBreak/>
              <w:t xml:space="preserve">help streamline </w:t>
            </w:r>
            <w:r w:rsidR="00255CEE">
              <w:rPr>
                <w:rFonts w:ascii="Arial" w:hAnsi="Arial" w:cs="Arial"/>
              </w:rPr>
              <w:t>DC residents</w:t>
            </w:r>
            <w:r>
              <w:rPr>
                <w:rFonts w:ascii="Arial" w:hAnsi="Arial" w:cs="Arial"/>
              </w:rPr>
              <w:t>’ transition from DCOA-funded case management for older</w:t>
            </w:r>
            <w:r w:rsidR="00393E2F">
              <w:rPr>
                <w:rFonts w:ascii="Arial" w:hAnsi="Arial" w:cs="Arial"/>
              </w:rPr>
              <w:t xml:space="preserve"> adults</w:t>
            </w:r>
            <w:r>
              <w:rPr>
                <w:rFonts w:ascii="Arial" w:hAnsi="Arial" w:cs="Arial"/>
              </w:rPr>
              <w:t xml:space="preserve"> with</w:t>
            </w:r>
            <w:r w:rsidR="00393E2F">
              <w:rPr>
                <w:rFonts w:ascii="Arial" w:hAnsi="Arial" w:cs="Arial"/>
              </w:rPr>
              <w:t xml:space="preserve"> a</w:t>
            </w:r>
            <w:r>
              <w:rPr>
                <w:rFonts w:ascii="Arial" w:hAnsi="Arial" w:cs="Arial"/>
              </w:rPr>
              <w:t xml:space="preserve"> lower level of care, to Medicaid-funded EPD Waiver case management for older adults with</w:t>
            </w:r>
            <w:r w:rsidR="00393E2F">
              <w:rPr>
                <w:rFonts w:ascii="Arial" w:hAnsi="Arial" w:cs="Arial"/>
              </w:rPr>
              <w:t xml:space="preserve"> a</w:t>
            </w:r>
            <w:r>
              <w:rPr>
                <w:rFonts w:ascii="Arial" w:hAnsi="Arial" w:cs="Arial"/>
              </w:rPr>
              <w:t xml:space="preserve"> higher level of care. This would allow DC residents to stay with the same case management agency</w:t>
            </w:r>
            <w:r w:rsidR="00255CEE">
              <w:rPr>
                <w:rFonts w:ascii="Arial" w:hAnsi="Arial" w:cs="Arial"/>
              </w:rPr>
              <w:t xml:space="preserve"> after enrollment in the EPD Waiver</w:t>
            </w:r>
            <w:r>
              <w:rPr>
                <w:rFonts w:ascii="Arial" w:hAnsi="Arial" w:cs="Arial"/>
              </w:rPr>
              <w:t xml:space="preserve"> if they choose, instead of switching to a new agency and case manager.</w:t>
            </w:r>
            <w:r w:rsidR="00255CEE">
              <w:rPr>
                <w:rFonts w:ascii="Arial" w:hAnsi="Arial" w:cs="Arial"/>
              </w:rPr>
              <w:t xml:space="preserve"> </w:t>
            </w:r>
          </w:p>
          <w:p w14:paraId="5C4EA855" w14:textId="77777777" w:rsidR="00255CEE" w:rsidRDefault="00255CEE" w:rsidP="001B2592">
            <w:pPr>
              <w:rPr>
                <w:rFonts w:ascii="Arial" w:hAnsi="Arial" w:cs="Arial"/>
              </w:rPr>
            </w:pPr>
          </w:p>
          <w:p w14:paraId="509CA397" w14:textId="77777777" w:rsidR="00255CEE" w:rsidRDefault="00255CEE" w:rsidP="001B2592">
            <w:pPr>
              <w:rPr>
                <w:rFonts w:ascii="Arial" w:hAnsi="Arial" w:cs="Arial"/>
              </w:rPr>
            </w:pPr>
            <w:r>
              <w:rPr>
                <w:rFonts w:ascii="Arial" w:hAnsi="Arial" w:cs="Arial"/>
              </w:rPr>
              <w:t>DCOA also initiated conversations with four states that have successfully streamlined Older American’s Act and Medicaid-funded case management: Alabama, Massachusetts, Ohio</w:t>
            </w:r>
            <w:r w:rsidR="00393E2F">
              <w:rPr>
                <w:rFonts w:ascii="Arial" w:hAnsi="Arial" w:cs="Arial"/>
              </w:rPr>
              <w:t>,</w:t>
            </w:r>
            <w:r>
              <w:rPr>
                <w:rFonts w:ascii="Arial" w:hAnsi="Arial" w:cs="Arial"/>
              </w:rPr>
              <w:t xml:space="preserve"> and Oklahoma. The focus of each discussion included implementing a data base that captured both funding sources and allowed multiple agencies to interact; sharing information on service plans; inter-agency collaboration; the history and implementation processes for each state; and general tips on how to make it work. DCOA expects to use this information to help update our internal and external case management processes, to enhance the No Wrong Door intake and data sharing discussion, and to continue work with DHCF and DDS on</w:t>
            </w:r>
            <w:r w:rsidR="008A7E40">
              <w:rPr>
                <w:rFonts w:ascii="Arial" w:hAnsi="Arial" w:cs="Arial"/>
              </w:rPr>
              <w:t xml:space="preserve"> developing</w:t>
            </w:r>
            <w:r>
              <w:rPr>
                <w:rFonts w:ascii="Arial" w:hAnsi="Arial" w:cs="Arial"/>
              </w:rPr>
              <w:t xml:space="preserve"> a new database.</w:t>
            </w:r>
          </w:p>
          <w:p w14:paraId="243CAD93" w14:textId="77777777" w:rsidR="00255CEE" w:rsidRDefault="00255CEE" w:rsidP="001B2592">
            <w:pPr>
              <w:rPr>
                <w:rFonts w:ascii="Arial" w:hAnsi="Arial" w:cs="Arial"/>
              </w:rPr>
            </w:pPr>
          </w:p>
          <w:p w14:paraId="46DBB273" w14:textId="77777777" w:rsidR="00773F5D" w:rsidRPr="00773F5D" w:rsidRDefault="00773F5D" w:rsidP="001B2592">
            <w:pPr>
              <w:rPr>
                <w:rFonts w:ascii="Arial" w:hAnsi="Arial" w:cs="Arial"/>
                <w:b/>
              </w:rPr>
            </w:pPr>
            <w:r w:rsidRPr="00773F5D">
              <w:rPr>
                <w:rFonts w:ascii="Arial" w:hAnsi="Arial" w:cs="Arial"/>
                <w:b/>
              </w:rPr>
              <w:t>Create a customer satisfaction survey to cover the five components of quality described above</w:t>
            </w:r>
            <w:r w:rsidR="00FB4BE9">
              <w:rPr>
                <w:rFonts w:ascii="Arial" w:hAnsi="Arial" w:cs="Arial"/>
                <w:b/>
              </w:rPr>
              <w:t>.</w:t>
            </w:r>
          </w:p>
          <w:p w14:paraId="7559BBA4" w14:textId="77777777" w:rsidR="00773F5D" w:rsidRDefault="007A4AF6" w:rsidP="001B2592">
            <w:pPr>
              <w:rPr>
                <w:rFonts w:ascii="Arial" w:hAnsi="Arial" w:cs="Arial"/>
              </w:rPr>
            </w:pPr>
            <w:r>
              <w:rPr>
                <w:rFonts w:ascii="Arial" w:hAnsi="Arial" w:cs="Arial"/>
              </w:rPr>
              <w:t>DCOA</w:t>
            </w:r>
            <w:r w:rsidR="008A7E40">
              <w:rPr>
                <w:rFonts w:ascii="Arial" w:hAnsi="Arial" w:cs="Arial"/>
              </w:rPr>
              <w:t xml:space="preserve"> shared it</w:t>
            </w:r>
            <w:r>
              <w:rPr>
                <w:rFonts w:ascii="Arial" w:hAnsi="Arial" w:cs="Arial"/>
              </w:rPr>
              <w:t>s</w:t>
            </w:r>
            <w:r w:rsidR="008A7E40">
              <w:rPr>
                <w:rFonts w:ascii="Arial" w:hAnsi="Arial" w:cs="Arial"/>
              </w:rPr>
              <w:t xml:space="preserve"> current</w:t>
            </w:r>
            <w:r>
              <w:rPr>
                <w:rFonts w:ascii="Arial" w:hAnsi="Arial" w:cs="Arial"/>
              </w:rPr>
              <w:t xml:space="preserve"> customer satisfaction </w:t>
            </w:r>
            <w:r w:rsidR="008A7E40">
              <w:rPr>
                <w:rFonts w:ascii="Arial" w:hAnsi="Arial" w:cs="Arial"/>
              </w:rPr>
              <w:t>survey with the director of the Office of Disability Rights this quarter. Next quarter DCOA expects to work collaboratively with the Olmstead workgroup to review each agency’s customer satisfaction survey, ascertain similarities and differences, and craft a new survey that covers the</w:t>
            </w:r>
            <w:r w:rsidR="00356C0C">
              <w:rPr>
                <w:rFonts w:ascii="Arial" w:hAnsi="Arial" w:cs="Arial"/>
              </w:rPr>
              <w:t xml:space="preserve"> Olmstead report’s</w:t>
            </w:r>
            <w:r w:rsidR="008A7E40">
              <w:rPr>
                <w:rFonts w:ascii="Arial" w:hAnsi="Arial" w:cs="Arial"/>
              </w:rPr>
              <w:t xml:space="preserve"> five key components of quality. </w:t>
            </w:r>
          </w:p>
          <w:p w14:paraId="0E8088EE" w14:textId="77777777" w:rsidR="00FB4BE9" w:rsidRDefault="00FB4BE9" w:rsidP="001B2592">
            <w:pPr>
              <w:rPr>
                <w:rFonts w:ascii="Arial" w:hAnsi="Arial" w:cs="Arial"/>
              </w:rPr>
            </w:pPr>
          </w:p>
          <w:p w14:paraId="7411B9CC" w14:textId="77777777" w:rsidR="00BF7928" w:rsidRPr="00773F5D" w:rsidRDefault="009D2D21" w:rsidP="001B2592">
            <w:pPr>
              <w:rPr>
                <w:rFonts w:ascii="Arial" w:hAnsi="Arial" w:cs="Arial"/>
                <w:b/>
                <w:u w:val="single"/>
              </w:rPr>
            </w:pPr>
            <w:r w:rsidRPr="00773F5D">
              <w:rPr>
                <w:rFonts w:ascii="Arial" w:hAnsi="Arial" w:cs="Arial"/>
                <w:b/>
                <w:u w:val="single"/>
              </w:rPr>
              <w:t>Housing</w:t>
            </w:r>
            <w:r w:rsidR="00773F5D" w:rsidRPr="00773F5D">
              <w:rPr>
                <w:rFonts w:ascii="Arial" w:hAnsi="Arial" w:cs="Arial"/>
                <w:b/>
                <w:u w:val="single"/>
              </w:rPr>
              <w:t>:</w:t>
            </w:r>
          </w:p>
          <w:p w14:paraId="6711AECF" w14:textId="77777777" w:rsidR="00773F5D" w:rsidRDefault="00773F5D" w:rsidP="001B2592">
            <w:pPr>
              <w:rPr>
                <w:rFonts w:ascii="Arial" w:hAnsi="Arial" w:cs="Arial"/>
                <w:b/>
              </w:rPr>
            </w:pPr>
            <w:r>
              <w:rPr>
                <w:rFonts w:ascii="Arial" w:hAnsi="Arial" w:cs="Arial"/>
                <w:b/>
              </w:rPr>
              <w:t xml:space="preserve">Implement environmental accessibility program to fund expedited housing adaptations up to $10,000 per person </w:t>
            </w:r>
          </w:p>
          <w:p w14:paraId="2C6C2407" w14:textId="77777777" w:rsidR="00FB4BE9" w:rsidRPr="00915492" w:rsidRDefault="00FB4BE9" w:rsidP="00FB4BE9">
            <w:pPr>
              <w:rPr>
                <w:rFonts w:ascii="Arial" w:hAnsi="Arial" w:cs="Arial"/>
              </w:rPr>
            </w:pPr>
            <w:r w:rsidRPr="00915492">
              <w:rPr>
                <w:rFonts w:ascii="Arial" w:hAnsi="Arial" w:cs="Arial"/>
              </w:rPr>
              <w:t xml:space="preserve">In fiscal year 2016, </w:t>
            </w:r>
            <w:r w:rsidR="008A7E40">
              <w:rPr>
                <w:rFonts w:ascii="Arial" w:hAnsi="Arial" w:cs="Arial"/>
              </w:rPr>
              <w:t>DCOA</w:t>
            </w:r>
            <w:r w:rsidRPr="00915492">
              <w:rPr>
                <w:rFonts w:ascii="Arial" w:hAnsi="Arial" w:cs="Arial"/>
              </w:rPr>
              <w:t xml:space="preserve"> partnered with the Department of Housing and Community Development to create Safe at Home, a program that promotes aging in place for older adults </w:t>
            </w:r>
            <w:r w:rsidR="008A7E40">
              <w:rPr>
                <w:rFonts w:ascii="Arial" w:hAnsi="Arial" w:cs="Arial"/>
              </w:rPr>
              <w:t xml:space="preserve">(60 years and older) and people </w:t>
            </w:r>
            <w:r w:rsidRPr="00915492">
              <w:rPr>
                <w:rFonts w:ascii="Arial" w:hAnsi="Arial" w:cs="Arial"/>
              </w:rPr>
              <w:t xml:space="preserve">with disabilities (between 18 and 59 years old) by offering home accessibility grants to reduce the risk of falls and reduce barriers that limit mobility. Each eligible household receives a falls assessment, in-home evaluation by an </w:t>
            </w:r>
            <w:r w:rsidRPr="00915492">
              <w:rPr>
                <w:rFonts w:ascii="Arial" w:hAnsi="Arial" w:cs="Arial"/>
              </w:rPr>
              <w:lastRenderedPageBreak/>
              <w:t>occupational therapist, and may re</w:t>
            </w:r>
            <w:r w:rsidR="008A7E40">
              <w:rPr>
                <w:rFonts w:ascii="Arial" w:hAnsi="Arial" w:cs="Arial"/>
              </w:rPr>
              <w:t xml:space="preserve">ceive a grant of up to $10,000, </w:t>
            </w:r>
            <w:r w:rsidRPr="00915492">
              <w:rPr>
                <w:rFonts w:ascii="Arial" w:hAnsi="Arial" w:cs="Arial"/>
              </w:rPr>
              <w:t xml:space="preserve">paid directly to the contractor </w:t>
            </w:r>
            <w:r w:rsidR="008A7E40">
              <w:rPr>
                <w:rFonts w:ascii="Arial" w:hAnsi="Arial" w:cs="Arial"/>
              </w:rPr>
              <w:t>and/or occupational therapist, t</w:t>
            </w:r>
            <w:r w:rsidRPr="00915492">
              <w:rPr>
                <w:rFonts w:ascii="Arial" w:hAnsi="Arial" w:cs="Arial"/>
              </w:rPr>
              <w:t>o cover recommended equipment and labor costs.</w:t>
            </w:r>
          </w:p>
          <w:p w14:paraId="4BAED870" w14:textId="77777777" w:rsidR="00FB4BE9" w:rsidRPr="00915492" w:rsidRDefault="00FB4BE9" w:rsidP="00FB4BE9">
            <w:pPr>
              <w:rPr>
                <w:rFonts w:ascii="Arial" w:hAnsi="Arial" w:cs="Arial"/>
              </w:rPr>
            </w:pPr>
          </w:p>
          <w:p w14:paraId="0DB22DDD" w14:textId="77777777" w:rsidR="00FB4BE9" w:rsidRPr="00915492" w:rsidRDefault="00FB4BE9" w:rsidP="00FB4BE9">
            <w:pPr>
              <w:rPr>
                <w:rFonts w:ascii="Arial" w:hAnsi="Arial" w:cs="Arial"/>
              </w:rPr>
            </w:pPr>
            <w:r w:rsidRPr="00915492">
              <w:rPr>
                <w:rFonts w:ascii="Arial" w:hAnsi="Arial" w:cs="Arial"/>
              </w:rPr>
              <w:t xml:space="preserve">Safe at Home began operating on January 4, 2016. During the first three months of the program’s operation, Safe at Home received 607 referrals to the program. Of those, 242 people completed the intake process over the phone. To complete enrollment, individuals must submit supporting documentation. Ninety-eight people completed enrollment. Of those enrolled, 50 people have completed an in-home assessment with an Occupational Therapist in the reporting period. Construction has been completed in 18 projects and are waiting a final </w:t>
            </w:r>
            <w:r w:rsidR="008A7E40">
              <w:rPr>
                <w:rFonts w:ascii="Arial" w:hAnsi="Arial" w:cs="Arial"/>
              </w:rPr>
              <w:t>occupational therapist review. By the end of March 2016,</w:t>
            </w:r>
            <w:r w:rsidRPr="00915492">
              <w:rPr>
                <w:rFonts w:ascii="Arial" w:hAnsi="Arial" w:cs="Arial"/>
              </w:rPr>
              <w:t xml:space="preserve"> </w:t>
            </w:r>
            <w:r w:rsidR="008A7E40">
              <w:rPr>
                <w:rFonts w:ascii="Arial" w:hAnsi="Arial" w:cs="Arial"/>
              </w:rPr>
              <w:t xml:space="preserve">a </w:t>
            </w:r>
            <w:r w:rsidRPr="00915492">
              <w:rPr>
                <w:rFonts w:ascii="Arial" w:hAnsi="Arial" w:cs="Arial"/>
              </w:rPr>
              <w:t xml:space="preserve">total of 11 projects </w:t>
            </w:r>
            <w:r w:rsidR="008A7E40">
              <w:rPr>
                <w:rFonts w:ascii="Arial" w:hAnsi="Arial" w:cs="Arial"/>
              </w:rPr>
              <w:t>were</w:t>
            </w:r>
            <w:r w:rsidRPr="00915492">
              <w:rPr>
                <w:rFonts w:ascii="Arial" w:hAnsi="Arial" w:cs="Arial"/>
              </w:rPr>
              <w:t xml:space="preserve"> completed and reviewed by an occupational therapist. The average number days between the date of the initial occupational therapist assessment visit and the occupational therapist final review of completed project is approximately 18 days.</w:t>
            </w:r>
          </w:p>
          <w:p w14:paraId="07961D5A" w14:textId="77777777" w:rsidR="00773F5D" w:rsidRDefault="00773F5D" w:rsidP="001B2592">
            <w:pPr>
              <w:rPr>
                <w:rFonts w:ascii="Arial" w:hAnsi="Arial" w:cs="Arial"/>
                <w:b/>
              </w:rPr>
            </w:pPr>
          </w:p>
          <w:p w14:paraId="24F0C3AA" w14:textId="77777777" w:rsidR="008A7E40" w:rsidRDefault="008A7E40" w:rsidP="001B2592">
            <w:pPr>
              <w:rPr>
                <w:rFonts w:ascii="Arial" w:hAnsi="Arial" w:cs="Arial"/>
                <w:b/>
              </w:rPr>
            </w:pPr>
          </w:p>
          <w:p w14:paraId="438F0C8D" w14:textId="77777777" w:rsidR="00773F5D" w:rsidRDefault="00773F5D" w:rsidP="001B2592">
            <w:pPr>
              <w:rPr>
                <w:rFonts w:ascii="Arial" w:hAnsi="Arial" w:cs="Arial"/>
                <w:b/>
              </w:rPr>
            </w:pPr>
            <w:r>
              <w:rPr>
                <w:rFonts w:ascii="Arial" w:hAnsi="Arial" w:cs="Arial"/>
                <w:b/>
              </w:rPr>
              <w:t>Determine methodology to evaluate housing needs for individuals who have been referred to the ADRC because they want to live in the community.</w:t>
            </w:r>
          </w:p>
          <w:p w14:paraId="61E1551D" w14:textId="77777777" w:rsidR="00FB4BE9" w:rsidRPr="00FB4BE9" w:rsidRDefault="00E86418" w:rsidP="001B2592">
            <w:pPr>
              <w:rPr>
                <w:rFonts w:ascii="Arial" w:hAnsi="Arial" w:cs="Arial"/>
              </w:rPr>
            </w:pPr>
            <w:r>
              <w:rPr>
                <w:rFonts w:ascii="Arial" w:hAnsi="Arial" w:cs="Arial"/>
              </w:rPr>
              <w:t xml:space="preserve">ADRC is currently evaluating how best to track the referrals requesting housing assistance. </w:t>
            </w:r>
          </w:p>
          <w:p w14:paraId="1C8B15D9" w14:textId="77777777" w:rsidR="001B2592" w:rsidRDefault="001B2592" w:rsidP="001B2592">
            <w:pPr>
              <w:rPr>
                <w:rFonts w:ascii="Arial" w:hAnsi="Arial" w:cs="Arial"/>
              </w:rPr>
            </w:pPr>
          </w:p>
          <w:p w14:paraId="1ED1F748" w14:textId="77777777" w:rsidR="00773F5D" w:rsidRDefault="00773F5D" w:rsidP="001B2592">
            <w:pPr>
              <w:rPr>
                <w:rFonts w:ascii="Arial" w:hAnsi="Arial" w:cs="Arial"/>
              </w:rPr>
            </w:pPr>
          </w:p>
          <w:p w14:paraId="780849A3" w14:textId="77777777" w:rsidR="00BF7928" w:rsidRPr="00773F5D" w:rsidRDefault="009D2D21" w:rsidP="001B2592">
            <w:pPr>
              <w:rPr>
                <w:rFonts w:ascii="Arial" w:hAnsi="Arial" w:cs="Arial"/>
                <w:b/>
                <w:u w:val="single"/>
              </w:rPr>
            </w:pPr>
            <w:r w:rsidRPr="00773F5D">
              <w:rPr>
                <w:rFonts w:ascii="Arial" w:hAnsi="Arial" w:cs="Arial"/>
                <w:b/>
                <w:u w:val="single"/>
              </w:rPr>
              <w:t>Wellness and Quality of Life</w:t>
            </w:r>
          </w:p>
          <w:p w14:paraId="70FDF32A" w14:textId="77777777" w:rsidR="00773F5D" w:rsidRPr="00773F5D" w:rsidRDefault="00773F5D" w:rsidP="001B2592">
            <w:pPr>
              <w:rPr>
                <w:rFonts w:ascii="Arial" w:hAnsi="Arial" w:cs="Arial"/>
                <w:b/>
              </w:rPr>
            </w:pPr>
            <w:r w:rsidRPr="00773F5D">
              <w:rPr>
                <w:rFonts w:ascii="Arial" w:hAnsi="Arial" w:cs="Arial"/>
                <w:b/>
              </w:rPr>
              <w:t>Increase inclusive daytime programming offerings and provide technical assistance and training to improve staff capacity at Adult Day Health providers, Senior Wellness Centers, Senior Centers, public libraries and DPR recreation centers</w:t>
            </w:r>
          </w:p>
          <w:p w14:paraId="59668353" w14:textId="77777777" w:rsidR="008A7E40" w:rsidRPr="00FB4BE9" w:rsidRDefault="00E86418" w:rsidP="008A7E40">
            <w:pPr>
              <w:rPr>
                <w:rFonts w:ascii="Arial" w:hAnsi="Arial" w:cs="Arial"/>
              </w:rPr>
            </w:pPr>
            <w:r>
              <w:rPr>
                <w:rFonts w:ascii="Arial" w:hAnsi="Arial" w:cs="Arial"/>
              </w:rPr>
              <w:t>DCOA has commissioned a needs assessment and feasibility study for wellness activities in all 8 wards</w:t>
            </w:r>
            <w:r w:rsidR="00D1538E">
              <w:rPr>
                <w:rFonts w:ascii="Arial" w:hAnsi="Arial" w:cs="Arial"/>
              </w:rPr>
              <w:t xml:space="preserve"> for fiscal year 2016</w:t>
            </w:r>
            <w:r>
              <w:rPr>
                <w:rFonts w:ascii="Arial" w:hAnsi="Arial" w:cs="Arial"/>
              </w:rPr>
              <w:t xml:space="preserve">. DCOA is also working with DPR on expanding wellness activities at DPR recreational centers. </w:t>
            </w:r>
          </w:p>
          <w:p w14:paraId="4CC8E4BD" w14:textId="77777777" w:rsidR="00773F5D" w:rsidRDefault="00773F5D" w:rsidP="001B2592">
            <w:pPr>
              <w:rPr>
                <w:rFonts w:ascii="Arial" w:hAnsi="Arial" w:cs="Arial"/>
              </w:rPr>
            </w:pPr>
          </w:p>
          <w:p w14:paraId="51FBFB7A" w14:textId="77777777" w:rsidR="001B2592" w:rsidRDefault="001B2592" w:rsidP="001B2592">
            <w:pPr>
              <w:rPr>
                <w:rFonts w:ascii="Arial" w:hAnsi="Arial" w:cs="Arial"/>
              </w:rPr>
            </w:pPr>
          </w:p>
          <w:p w14:paraId="4AEB68D6" w14:textId="77777777" w:rsidR="00773F5D" w:rsidRPr="00773F5D" w:rsidRDefault="00773F5D" w:rsidP="001B2592">
            <w:pPr>
              <w:rPr>
                <w:rFonts w:ascii="Arial" w:hAnsi="Arial" w:cs="Arial"/>
                <w:b/>
              </w:rPr>
            </w:pPr>
            <w:r w:rsidRPr="00773F5D">
              <w:rPr>
                <w:rFonts w:ascii="Arial" w:hAnsi="Arial" w:cs="Arial"/>
                <w:b/>
              </w:rPr>
              <w:t>Assess and align the capacity of transportation providers to support the transportation needs of people with disabilities</w:t>
            </w:r>
          </w:p>
          <w:p w14:paraId="4421BAB3" w14:textId="28A2C448" w:rsidR="008A7E40" w:rsidRPr="00FB4BE9" w:rsidRDefault="00E86418" w:rsidP="008A7E40">
            <w:pPr>
              <w:rPr>
                <w:rFonts w:ascii="Arial" w:hAnsi="Arial" w:cs="Arial"/>
              </w:rPr>
            </w:pPr>
            <w:r>
              <w:rPr>
                <w:rFonts w:ascii="Arial" w:hAnsi="Arial" w:cs="Arial"/>
              </w:rPr>
              <w:lastRenderedPageBreak/>
              <w:t>DCOA has led the Transportation Collective, which is comprised of the DDOT, WMATA, DCTC, DHCF, and DCOA. The Transportation Collective gathered information on each type of transportation program for seniors and people with disabilities. Collectively, the District will allocate $63</w:t>
            </w:r>
            <w:r w:rsidR="004A724C">
              <w:rPr>
                <w:rFonts w:ascii="Arial" w:hAnsi="Arial" w:cs="Arial"/>
              </w:rPr>
              <w:t xml:space="preserve"> million for transportation for seniors and people with disabilities in fiscal year 2017. </w:t>
            </w:r>
            <w:r w:rsidR="007E587B">
              <w:rPr>
                <w:rFonts w:ascii="Arial" w:hAnsi="Arial" w:cs="Arial"/>
              </w:rPr>
              <w:t>The District will continue to evaluate how to improve information and acce</w:t>
            </w:r>
            <w:r w:rsidR="008744CF">
              <w:rPr>
                <w:rFonts w:ascii="Arial" w:hAnsi="Arial" w:cs="Arial"/>
              </w:rPr>
              <w:t>ss, while making sure the District is paying only once for</w:t>
            </w:r>
            <w:r w:rsidR="00A94224">
              <w:rPr>
                <w:rFonts w:ascii="Arial" w:hAnsi="Arial" w:cs="Arial"/>
              </w:rPr>
              <w:t xml:space="preserve"> transportation</w:t>
            </w:r>
            <w:bookmarkStart w:id="0" w:name="_GoBack"/>
            <w:bookmarkEnd w:id="0"/>
            <w:r w:rsidR="008744CF">
              <w:rPr>
                <w:rFonts w:ascii="Arial" w:hAnsi="Arial" w:cs="Arial"/>
              </w:rPr>
              <w:t xml:space="preserve"> services. </w:t>
            </w:r>
          </w:p>
          <w:p w14:paraId="5D044083" w14:textId="77777777" w:rsidR="00773F5D" w:rsidRPr="007B4549" w:rsidRDefault="00773F5D" w:rsidP="001B2592">
            <w:pPr>
              <w:rPr>
                <w:rFonts w:ascii="Arial" w:hAnsi="Arial" w:cs="Arial"/>
              </w:rPr>
            </w:pPr>
          </w:p>
          <w:p w14:paraId="072BD97B" w14:textId="77777777" w:rsidR="00BF7928" w:rsidRPr="00773F5D" w:rsidRDefault="009D2D21" w:rsidP="001B2592">
            <w:pPr>
              <w:rPr>
                <w:rFonts w:ascii="Arial" w:hAnsi="Arial" w:cs="Arial"/>
                <w:b/>
                <w:u w:val="single"/>
              </w:rPr>
            </w:pPr>
            <w:r w:rsidRPr="00773F5D">
              <w:rPr>
                <w:rFonts w:ascii="Arial" w:hAnsi="Arial" w:cs="Arial"/>
                <w:b/>
                <w:u w:val="single"/>
              </w:rPr>
              <w:t>Intake, Enrollment, and Discharge</w:t>
            </w:r>
          </w:p>
          <w:p w14:paraId="3842E8C6" w14:textId="77777777" w:rsidR="00BF7928" w:rsidRPr="00FB4BE9" w:rsidRDefault="00773F5D" w:rsidP="001B2592">
            <w:pPr>
              <w:rPr>
                <w:rFonts w:ascii="Arial" w:hAnsi="Arial" w:cs="Arial"/>
                <w:b/>
              </w:rPr>
            </w:pPr>
            <w:r w:rsidRPr="00FB4BE9">
              <w:rPr>
                <w:rFonts w:ascii="Arial" w:hAnsi="Arial" w:cs="Arial"/>
                <w:b/>
              </w:rPr>
              <w:t>Develop a discharge manual to be used by both institutional and community-based professionals in collaboration with the Interagency Council on Homelessness (ICH) and make recommendations to improve the process, if needed</w:t>
            </w:r>
          </w:p>
          <w:p w14:paraId="79E8CA65" w14:textId="77777777" w:rsidR="007A4AF6" w:rsidRDefault="007A4AF6" w:rsidP="00730650">
            <w:pPr>
              <w:rPr>
                <w:rFonts w:ascii="Arial" w:hAnsi="Arial" w:cs="Arial"/>
              </w:rPr>
            </w:pPr>
          </w:p>
          <w:p w14:paraId="72A9760E" w14:textId="77777777" w:rsidR="00181F5D" w:rsidRDefault="00181F5D" w:rsidP="00181F5D">
            <w:pPr>
              <w:rPr>
                <w:rFonts w:ascii="Arial" w:eastAsia="Calibri" w:hAnsi="Arial" w:cs="Arial"/>
                <w:color w:val="000000"/>
              </w:rPr>
            </w:pPr>
            <w:r>
              <w:rPr>
                <w:rFonts w:ascii="Arial" w:eastAsia="Calibri" w:hAnsi="Arial" w:cs="Arial"/>
                <w:color w:val="000000"/>
              </w:rPr>
              <w:t>In January 2016 DCOA initiated a meeting with the Director of the DC Department of Health, and in March 2016, DCOA initiated a meeting with hospital social workers, administrators, DC Department of Health, and the DC Hospital Association to explain DCOA’s shift from offering a hospital discharge program</w:t>
            </w:r>
            <w:r w:rsidR="00E8271D">
              <w:rPr>
                <w:rFonts w:ascii="Arial" w:eastAsia="Calibri" w:hAnsi="Arial" w:cs="Arial"/>
                <w:color w:val="000000"/>
              </w:rPr>
              <w:t xml:space="preserve"> to discharge consultation</w:t>
            </w:r>
            <w:r w:rsidR="00797CBF">
              <w:rPr>
                <w:rFonts w:ascii="Arial" w:eastAsia="Calibri" w:hAnsi="Arial" w:cs="Arial"/>
                <w:color w:val="000000"/>
              </w:rPr>
              <w:t>. Previously funded by a federal grant,</w:t>
            </w:r>
            <w:r>
              <w:rPr>
                <w:rFonts w:ascii="Arial" w:eastAsia="Calibri" w:hAnsi="Arial" w:cs="Arial"/>
                <w:color w:val="000000"/>
              </w:rPr>
              <w:t xml:space="preserve"> DCOA </w:t>
            </w:r>
            <w:r w:rsidR="00797CBF">
              <w:rPr>
                <w:rFonts w:ascii="Arial" w:eastAsia="Calibri" w:hAnsi="Arial" w:cs="Arial"/>
                <w:color w:val="000000"/>
              </w:rPr>
              <w:t xml:space="preserve">had </w:t>
            </w:r>
            <w:r>
              <w:rPr>
                <w:rFonts w:ascii="Arial" w:eastAsia="Calibri" w:hAnsi="Arial" w:cs="Arial"/>
                <w:color w:val="000000"/>
              </w:rPr>
              <w:t xml:space="preserve">two DCOA social workers </w:t>
            </w:r>
            <w:r w:rsidR="00797CBF">
              <w:rPr>
                <w:rFonts w:ascii="Arial" w:eastAsia="Calibri" w:hAnsi="Arial" w:cs="Arial"/>
                <w:color w:val="000000"/>
              </w:rPr>
              <w:t>with</w:t>
            </w:r>
            <w:r>
              <w:rPr>
                <w:rFonts w:ascii="Arial" w:eastAsia="Calibri" w:hAnsi="Arial" w:cs="Arial"/>
                <w:color w:val="000000"/>
              </w:rPr>
              <w:t xml:space="preserve"> caseloads of very com</w:t>
            </w:r>
            <w:r w:rsidR="00797CBF">
              <w:rPr>
                <w:rFonts w:ascii="Arial" w:eastAsia="Calibri" w:hAnsi="Arial" w:cs="Arial"/>
                <w:color w:val="000000"/>
              </w:rPr>
              <w:t xml:space="preserve">plex hospital discharge </w:t>
            </w:r>
            <w:r w:rsidR="00356C0C">
              <w:rPr>
                <w:rFonts w:ascii="Arial" w:eastAsia="Calibri" w:hAnsi="Arial" w:cs="Arial"/>
                <w:color w:val="000000"/>
              </w:rPr>
              <w:t>case</w:t>
            </w:r>
            <w:r w:rsidR="00797CBF">
              <w:rPr>
                <w:rFonts w:ascii="Arial" w:eastAsia="Calibri" w:hAnsi="Arial" w:cs="Arial"/>
                <w:color w:val="000000"/>
              </w:rPr>
              <w:t>s</w:t>
            </w:r>
            <w:r>
              <w:rPr>
                <w:rFonts w:ascii="Arial" w:eastAsia="Calibri" w:hAnsi="Arial" w:cs="Arial"/>
                <w:color w:val="000000"/>
              </w:rPr>
              <w:t>.</w:t>
            </w:r>
            <w:r w:rsidR="00797CBF">
              <w:rPr>
                <w:rFonts w:ascii="Arial" w:eastAsia="Calibri" w:hAnsi="Arial" w:cs="Arial"/>
                <w:color w:val="000000"/>
              </w:rPr>
              <w:t xml:space="preserve"> However, when the federal grant ended, DCOA shifted to assisting hospital discharge social workers with accessing home and community based services</w:t>
            </w:r>
            <w:r w:rsidR="00E8271D">
              <w:rPr>
                <w:rFonts w:ascii="Arial" w:eastAsia="Calibri" w:hAnsi="Arial" w:cs="Arial"/>
                <w:color w:val="000000"/>
              </w:rPr>
              <w:t xml:space="preserve"> for their clients</w:t>
            </w:r>
            <w:r w:rsidR="00797CBF">
              <w:rPr>
                <w:rFonts w:ascii="Arial" w:eastAsia="Calibri" w:hAnsi="Arial" w:cs="Arial"/>
                <w:color w:val="000000"/>
              </w:rPr>
              <w:t xml:space="preserve">; knowing what local supports </w:t>
            </w:r>
            <w:r w:rsidR="00E8271D">
              <w:rPr>
                <w:rFonts w:ascii="Arial" w:eastAsia="Calibri" w:hAnsi="Arial" w:cs="Arial"/>
                <w:color w:val="000000"/>
              </w:rPr>
              <w:t>are</w:t>
            </w:r>
            <w:r w:rsidR="00797CBF">
              <w:rPr>
                <w:rFonts w:ascii="Arial" w:eastAsia="Calibri" w:hAnsi="Arial" w:cs="Arial"/>
                <w:color w:val="000000"/>
              </w:rPr>
              <w:t xml:space="preserve"> available; and assisting with referrals to lead agency or DCOA social workers after a discharge was complete as part of their discharge plan. </w:t>
            </w:r>
          </w:p>
          <w:p w14:paraId="6A22F08B" w14:textId="77777777" w:rsidR="00797CBF" w:rsidRDefault="00797CBF" w:rsidP="00181F5D">
            <w:pPr>
              <w:rPr>
                <w:rFonts w:ascii="Arial" w:eastAsia="Calibri" w:hAnsi="Arial" w:cs="Arial"/>
                <w:color w:val="000000"/>
              </w:rPr>
            </w:pPr>
          </w:p>
          <w:p w14:paraId="5972EF45" w14:textId="77777777" w:rsidR="00797CBF" w:rsidRDefault="00797CBF" w:rsidP="00181F5D">
            <w:pPr>
              <w:rPr>
                <w:rFonts w:ascii="Arial" w:eastAsia="Calibri" w:hAnsi="Arial" w:cs="Arial"/>
                <w:color w:val="000000"/>
              </w:rPr>
            </w:pPr>
            <w:r>
              <w:rPr>
                <w:rFonts w:ascii="Arial" w:eastAsia="Calibri" w:hAnsi="Arial" w:cs="Arial"/>
                <w:color w:val="000000"/>
              </w:rPr>
              <w:t xml:space="preserve">Also discussed at the meeting was whether participants would be interested in attending future meetings on developing a manual on home and community-based services and supports specifically for hospital and nursing facility social workers. The idea received a very positive response and participants </w:t>
            </w:r>
            <w:r w:rsidR="00E8271D">
              <w:rPr>
                <w:rFonts w:ascii="Arial" w:eastAsia="Calibri" w:hAnsi="Arial" w:cs="Arial"/>
                <w:color w:val="000000"/>
              </w:rPr>
              <w:t>agreed</w:t>
            </w:r>
            <w:r>
              <w:rPr>
                <w:rFonts w:ascii="Arial" w:eastAsia="Calibri" w:hAnsi="Arial" w:cs="Arial"/>
                <w:color w:val="000000"/>
              </w:rPr>
              <w:t xml:space="preserve"> that this process would help</w:t>
            </w:r>
            <w:r w:rsidR="00E8271D">
              <w:rPr>
                <w:rFonts w:ascii="Arial" w:eastAsia="Calibri" w:hAnsi="Arial" w:cs="Arial"/>
                <w:color w:val="000000"/>
              </w:rPr>
              <w:t xml:space="preserve"> streamline their work and</w:t>
            </w:r>
            <w:r>
              <w:rPr>
                <w:rFonts w:ascii="Arial" w:eastAsia="Calibri" w:hAnsi="Arial" w:cs="Arial"/>
                <w:color w:val="000000"/>
              </w:rPr>
              <w:t xml:space="preserve"> highlight service </w:t>
            </w:r>
            <w:r w:rsidR="00E8271D">
              <w:rPr>
                <w:rFonts w:ascii="Arial" w:eastAsia="Calibri" w:hAnsi="Arial" w:cs="Arial"/>
                <w:color w:val="000000"/>
              </w:rPr>
              <w:t>gaps in DC. T</w:t>
            </w:r>
            <w:r>
              <w:rPr>
                <w:rFonts w:ascii="Arial" w:eastAsia="Calibri" w:hAnsi="Arial" w:cs="Arial"/>
                <w:color w:val="000000"/>
              </w:rPr>
              <w:t>herefore</w:t>
            </w:r>
            <w:r w:rsidR="00356C0C">
              <w:rPr>
                <w:rFonts w:ascii="Arial" w:eastAsia="Calibri" w:hAnsi="Arial" w:cs="Arial"/>
                <w:color w:val="000000"/>
              </w:rPr>
              <w:t>,</w:t>
            </w:r>
            <w:r>
              <w:rPr>
                <w:rFonts w:ascii="Arial" w:eastAsia="Calibri" w:hAnsi="Arial" w:cs="Arial"/>
                <w:color w:val="000000"/>
              </w:rPr>
              <w:t xml:space="preserve"> it </w:t>
            </w:r>
            <w:r w:rsidR="00356C0C">
              <w:rPr>
                <w:rFonts w:ascii="Arial" w:eastAsia="Calibri" w:hAnsi="Arial" w:cs="Arial"/>
                <w:color w:val="000000"/>
              </w:rPr>
              <w:t>i</w:t>
            </w:r>
            <w:r>
              <w:rPr>
                <w:rFonts w:ascii="Arial" w:eastAsia="Calibri" w:hAnsi="Arial" w:cs="Arial"/>
                <w:color w:val="000000"/>
              </w:rPr>
              <w:t>s important to have representation from all of DC’s hea</w:t>
            </w:r>
            <w:r w:rsidR="00E8271D">
              <w:rPr>
                <w:rFonts w:ascii="Arial" w:eastAsia="Calibri" w:hAnsi="Arial" w:cs="Arial"/>
                <w:color w:val="000000"/>
              </w:rPr>
              <w:t>lth and human service agencies: DCOA, DHCF, DDS, DBH, DHS, DOH, and OVA.</w:t>
            </w:r>
          </w:p>
          <w:p w14:paraId="2951FDB0" w14:textId="77777777" w:rsidR="00797CBF" w:rsidRDefault="00797CBF" w:rsidP="00181F5D">
            <w:pPr>
              <w:rPr>
                <w:rFonts w:ascii="Arial" w:eastAsia="Calibri" w:hAnsi="Arial" w:cs="Arial"/>
                <w:color w:val="000000"/>
              </w:rPr>
            </w:pPr>
          </w:p>
          <w:p w14:paraId="497E17B0" w14:textId="77777777" w:rsidR="00181F5D" w:rsidRPr="00E8271D" w:rsidRDefault="00797CBF" w:rsidP="00356C0C">
            <w:pPr>
              <w:rPr>
                <w:rFonts w:ascii="Arial" w:eastAsia="Calibri" w:hAnsi="Arial" w:cs="Arial"/>
                <w:color w:val="000000"/>
              </w:rPr>
            </w:pPr>
            <w:r>
              <w:rPr>
                <w:rFonts w:ascii="Arial" w:eastAsia="Calibri" w:hAnsi="Arial" w:cs="Arial"/>
                <w:color w:val="000000"/>
              </w:rPr>
              <w:t>Next steps</w:t>
            </w:r>
            <w:r w:rsidR="00E8271D">
              <w:rPr>
                <w:rFonts w:ascii="Arial" w:eastAsia="Calibri" w:hAnsi="Arial" w:cs="Arial"/>
                <w:color w:val="000000"/>
              </w:rPr>
              <w:t xml:space="preserve"> for DCOA</w:t>
            </w:r>
            <w:r>
              <w:rPr>
                <w:rFonts w:ascii="Arial" w:eastAsia="Calibri" w:hAnsi="Arial" w:cs="Arial"/>
                <w:color w:val="000000"/>
              </w:rPr>
              <w:t xml:space="preserve"> include introducing the idea</w:t>
            </w:r>
            <w:r w:rsidR="00E8271D">
              <w:rPr>
                <w:rFonts w:ascii="Arial" w:eastAsia="Calibri" w:hAnsi="Arial" w:cs="Arial"/>
                <w:color w:val="000000"/>
              </w:rPr>
              <w:t xml:space="preserve"> to </w:t>
            </w:r>
            <w:r>
              <w:rPr>
                <w:rFonts w:ascii="Arial" w:eastAsia="Calibri" w:hAnsi="Arial" w:cs="Arial"/>
                <w:color w:val="000000"/>
              </w:rPr>
              <w:t>the O</w:t>
            </w:r>
            <w:r w:rsidR="00356C0C">
              <w:rPr>
                <w:rFonts w:ascii="Arial" w:eastAsia="Calibri" w:hAnsi="Arial" w:cs="Arial"/>
                <w:color w:val="000000"/>
              </w:rPr>
              <w:t>lmstead workgroup,</w:t>
            </w:r>
            <w:r>
              <w:rPr>
                <w:rFonts w:ascii="Arial" w:eastAsia="Calibri" w:hAnsi="Arial" w:cs="Arial"/>
                <w:color w:val="000000"/>
              </w:rPr>
              <w:t xml:space="preserve"> No Wrong Door Leadership Council</w:t>
            </w:r>
            <w:r w:rsidR="00E8271D">
              <w:rPr>
                <w:rFonts w:ascii="Arial" w:eastAsia="Calibri" w:hAnsi="Arial" w:cs="Arial"/>
                <w:color w:val="000000"/>
              </w:rPr>
              <w:t>,</w:t>
            </w:r>
            <w:r w:rsidR="00356C0C">
              <w:rPr>
                <w:rFonts w:ascii="Arial" w:eastAsia="Calibri" w:hAnsi="Arial" w:cs="Arial"/>
                <w:color w:val="000000"/>
              </w:rPr>
              <w:t xml:space="preserve"> and Interagency Council on </w:t>
            </w:r>
            <w:r w:rsidR="00356C0C">
              <w:rPr>
                <w:rFonts w:ascii="Arial" w:eastAsia="Calibri" w:hAnsi="Arial" w:cs="Arial"/>
                <w:color w:val="000000"/>
              </w:rPr>
              <w:lastRenderedPageBreak/>
              <w:t>Homelessness,</w:t>
            </w:r>
            <w:r w:rsidR="00E8271D">
              <w:rPr>
                <w:rFonts w:ascii="Arial" w:eastAsia="Calibri" w:hAnsi="Arial" w:cs="Arial"/>
                <w:color w:val="000000"/>
              </w:rPr>
              <w:t xml:space="preserve"> then convening a kick-off meeting including representatives from DC health and human service agencies, hospitals, and nursing facilities.</w:t>
            </w:r>
          </w:p>
        </w:tc>
      </w:tr>
    </w:tbl>
    <w:p w14:paraId="3E4E8E4D" w14:textId="77777777" w:rsidR="00AF0283" w:rsidRDefault="00AF0283"/>
    <w:sectPr w:rsidR="00AF0283" w:rsidSect="00425505">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A37DB" w14:textId="77777777" w:rsidR="00E86418" w:rsidRDefault="00E86418" w:rsidP="008D6B36">
      <w:r>
        <w:separator/>
      </w:r>
    </w:p>
  </w:endnote>
  <w:endnote w:type="continuationSeparator" w:id="0">
    <w:p w14:paraId="23AEE1E4" w14:textId="77777777" w:rsidR="00E86418" w:rsidRDefault="00E86418" w:rsidP="008D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88091"/>
      <w:docPartObj>
        <w:docPartGallery w:val="Page Numbers (Bottom of Page)"/>
        <w:docPartUnique/>
      </w:docPartObj>
    </w:sdtPr>
    <w:sdtEndPr>
      <w:rPr>
        <w:noProof/>
      </w:rPr>
    </w:sdtEndPr>
    <w:sdtContent>
      <w:p w14:paraId="7230B1F8" w14:textId="77777777" w:rsidR="00E86418" w:rsidRDefault="00E86418">
        <w:pPr>
          <w:pStyle w:val="Footer"/>
          <w:jc w:val="right"/>
        </w:pPr>
        <w:r>
          <w:fldChar w:fldCharType="begin"/>
        </w:r>
        <w:r>
          <w:instrText xml:space="preserve"> PAGE   \* MERGEFORMAT </w:instrText>
        </w:r>
        <w:r>
          <w:fldChar w:fldCharType="separate"/>
        </w:r>
        <w:r w:rsidR="00A94224">
          <w:rPr>
            <w:noProof/>
          </w:rPr>
          <w:t>8</w:t>
        </w:r>
        <w:r>
          <w:rPr>
            <w:noProof/>
          </w:rPr>
          <w:fldChar w:fldCharType="end"/>
        </w:r>
      </w:p>
    </w:sdtContent>
  </w:sdt>
  <w:p w14:paraId="512858E0" w14:textId="77777777" w:rsidR="00E86418" w:rsidRDefault="00E864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6037A" w14:textId="77777777" w:rsidR="00E86418" w:rsidRDefault="00E86418" w:rsidP="008D6B36">
      <w:r>
        <w:separator/>
      </w:r>
    </w:p>
  </w:footnote>
  <w:footnote w:type="continuationSeparator" w:id="0">
    <w:p w14:paraId="57CF9D15" w14:textId="77777777" w:rsidR="00E86418" w:rsidRDefault="00E86418" w:rsidP="008D6B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7B2E"/>
    <w:multiLevelType w:val="hybridMultilevel"/>
    <w:tmpl w:val="CAACD99A"/>
    <w:lvl w:ilvl="0" w:tplc="4ABEB142">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47E0B"/>
    <w:multiLevelType w:val="hybridMultilevel"/>
    <w:tmpl w:val="62D280FE"/>
    <w:lvl w:ilvl="0" w:tplc="29BEE404">
      <w:start w:val="1"/>
      <w:numFmt w:val="bullet"/>
      <w:lvlText w:val="◦"/>
      <w:lvlJc w:val="left"/>
      <w:pPr>
        <w:tabs>
          <w:tab w:val="num" w:pos="720"/>
        </w:tabs>
        <w:ind w:left="720" w:hanging="360"/>
      </w:pPr>
      <w:rPr>
        <w:rFonts w:ascii="Verdana" w:hAnsi="Verdana" w:hint="default"/>
      </w:rPr>
    </w:lvl>
    <w:lvl w:ilvl="1" w:tplc="F0BE3362">
      <w:start w:val="1"/>
      <w:numFmt w:val="bullet"/>
      <w:lvlText w:val="◦"/>
      <w:lvlJc w:val="left"/>
      <w:pPr>
        <w:tabs>
          <w:tab w:val="num" w:pos="1440"/>
        </w:tabs>
        <w:ind w:left="1440" w:hanging="360"/>
      </w:pPr>
      <w:rPr>
        <w:rFonts w:ascii="Verdana" w:hAnsi="Verdana" w:hint="default"/>
      </w:rPr>
    </w:lvl>
    <w:lvl w:ilvl="2" w:tplc="A6E66A78" w:tentative="1">
      <w:start w:val="1"/>
      <w:numFmt w:val="bullet"/>
      <w:lvlText w:val="◦"/>
      <w:lvlJc w:val="left"/>
      <w:pPr>
        <w:tabs>
          <w:tab w:val="num" w:pos="2160"/>
        </w:tabs>
        <w:ind w:left="2160" w:hanging="360"/>
      </w:pPr>
      <w:rPr>
        <w:rFonts w:ascii="Verdana" w:hAnsi="Verdana" w:hint="default"/>
      </w:rPr>
    </w:lvl>
    <w:lvl w:ilvl="3" w:tplc="E7EE1BBE" w:tentative="1">
      <w:start w:val="1"/>
      <w:numFmt w:val="bullet"/>
      <w:lvlText w:val="◦"/>
      <w:lvlJc w:val="left"/>
      <w:pPr>
        <w:tabs>
          <w:tab w:val="num" w:pos="2880"/>
        </w:tabs>
        <w:ind w:left="2880" w:hanging="360"/>
      </w:pPr>
      <w:rPr>
        <w:rFonts w:ascii="Verdana" w:hAnsi="Verdana" w:hint="default"/>
      </w:rPr>
    </w:lvl>
    <w:lvl w:ilvl="4" w:tplc="CF023E42" w:tentative="1">
      <w:start w:val="1"/>
      <w:numFmt w:val="bullet"/>
      <w:lvlText w:val="◦"/>
      <w:lvlJc w:val="left"/>
      <w:pPr>
        <w:tabs>
          <w:tab w:val="num" w:pos="3600"/>
        </w:tabs>
        <w:ind w:left="3600" w:hanging="360"/>
      </w:pPr>
      <w:rPr>
        <w:rFonts w:ascii="Verdana" w:hAnsi="Verdana" w:hint="default"/>
      </w:rPr>
    </w:lvl>
    <w:lvl w:ilvl="5" w:tplc="B82E7094" w:tentative="1">
      <w:start w:val="1"/>
      <w:numFmt w:val="bullet"/>
      <w:lvlText w:val="◦"/>
      <w:lvlJc w:val="left"/>
      <w:pPr>
        <w:tabs>
          <w:tab w:val="num" w:pos="4320"/>
        </w:tabs>
        <w:ind w:left="4320" w:hanging="360"/>
      </w:pPr>
      <w:rPr>
        <w:rFonts w:ascii="Verdana" w:hAnsi="Verdana" w:hint="default"/>
      </w:rPr>
    </w:lvl>
    <w:lvl w:ilvl="6" w:tplc="542A2954" w:tentative="1">
      <w:start w:val="1"/>
      <w:numFmt w:val="bullet"/>
      <w:lvlText w:val="◦"/>
      <w:lvlJc w:val="left"/>
      <w:pPr>
        <w:tabs>
          <w:tab w:val="num" w:pos="5040"/>
        </w:tabs>
        <w:ind w:left="5040" w:hanging="360"/>
      </w:pPr>
      <w:rPr>
        <w:rFonts w:ascii="Verdana" w:hAnsi="Verdana" w:hint="default"/>
      </w:rPr>
    </w:lvl>
    <w:lvl w:ilvl="7" w:tplc="CD66753A" w:tentative="1">
      <w:start w:val="1"/>
      <w:numFmt w:val="bullet"/>
      <w:lvlText w:val="◦"/>
      <w:lvlJc w:val="left"/>
      <w:pPr>
        <w:tabs>
          <w:tab w:val="num" w:pos="5760"/>
        </w:tabs>
        <w:ind w:left="5760" w:hanging="360"/>
      </w:pPr>
      <w:rPr>
        <w:rFonts w:ascii="Verdana" w:hAnsi="Verdana" w:hint="default"/>
      </w:rPr>
    </w:lvl>
    <w:lvl w:ilvl="8" w:tplc="D4544B08" w:tentative="1">
      <w:start w:val="1"/>
      <w:numFmt w:val="bullet"/>
      <w:lvlText w:val="◦"/>
      <w:lvlJc w:val="left"/>
      <w:pPr>
        <w:tabs>
          <w:tab w:val="num" w:pos="6480"/>
        </w:tabs>
        <w:ind w:left="6480" w:hanging="360"/>
      </w:pPr>
      <w:rPr>
        <w:rFonts w:ascii="Verdana" w:hAnsi="Verdana" w:hint="default"/>
      </w:rPr>
    </w:lvl>
  </w:abstractNum>
  <w:abstractNum w:abstractNumId="2">
    <w:nsid w:val="1D95100C"/>
    <w:multiLevelType w:val="hybridMultilevel"/>
    <w:tmpl w:val="A64057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nsid w:val="29BF3DBE"/>
    <w:multiLevelType w:val="hybridMultilevel"/>
    <w:tmpl w:val="583A0F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4">
    <w:nsid w:val="34776967"/>
    <w:multiLevelType w:val="hybridMultilevel"/>
    <w:tmpl w:val="4BBA9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D6D35"/>
    <w:multiLevelType w:val="hybridMultilevel"/>
    <w:tmpl w:val="82125D22"/>
    <w:lvl w:ilvl="0" w:tplc="5D9A3A02">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C70F61"/>
    <w:multiLevelType w:val="hybridMultilevel"/>
    <w:tmpl w:val="4688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D1A39"/>
    <w:multiLevelType w:val="hybridMultilevel"/>
    <w:tmpl w:val="592A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379AF"/>
    <w:multiLevelType w:val="hybridMultilevel"/>
    <w:tmpl w:val="284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3133AF"/>
    <w:multiLevelType w:val="hybridMultilevel"/>
    <w:tmpl w:val="E7683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5"/>
  </w:num>
  <w:num w:numId="6">
    <w:abstractNumId w:val="1"/>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51"/>
    <w:rsid w:val="0003311F"/>
    <w:rsid w:val="00036E51"/>
    <w:rsid w:val="000502B7"/>
    <w:rsid w:val="00064B62"/>
    <w:rsid w:val="000915E0"/>
    <w:rsid w:val="000A144B"/>
    <w:rsid w:val="000D27DF"/>
    <w:rsid w:val="000F2A15"/>
    <w:rsid w:val="001102CD"/>
    <w:rsid w:val="00121410"/>
    <w:rsid w:val="001345C9"/>
    <w:rsid w:val="00167515"/>
    <w:rsid w:val="00172C3D"/>
    <w:rsid w:val="00176C02"/>
    <w:rsid w:val="00181F5D"/>
    <w:rsid w:val="001B2592"/>
    <w:rsid w:val="001C4988"/>
    <w:rsid w:val="001D112A"/>
    <w:rsid w:val="00231067"/>
    <w:rsid w:val="00232EDC"/>
    <w:rsid w:val="002455F4"/>
    <w:rsid w:val="00254474"/>
    <w:rsid w:val="00255CEE"/>
    <w:rsid w:val="00277700"/>
    <w:rsid w:val="00285736"/>
    <w:rsid w:val="002B0198"/>
    <w:rsid w:val="002B4E97"/>
    <w:rsid w:val="00325FBC"/>
    <w:rsid w:val="00347FA0"/>
    <w:rsid w:val="00356C0C"/>
    <w:rsid w:val="0038537B"/>
    <w:rsid w:val="00393E2F"/>
    <w:rsid w:val="00397D45"/>
    <w:rsid w:val="003A1BC4"/>
    <w:rsid w:val="003A4C86"/>
    <w:rsid w:val="003B474A"/>
    <w:rsid w:val="003C0E2C"/>
    <w:rsid w:val="00425505"/>
    <w:rsid w:val="004677C4"/>
    <w:rsid w:val="004964DD"/>
    <w:rsid w:val="004A724C"/>
    <w:rsid w:val="004D6FC8"/>
    <w:rsid w:val="00525DAD"/>
    <w:rsid w:val="00551C12"/>
    <w:rsid w:val="00591997"/>
    <w:rsid w:val="005B7BDA"/>
    <w:rsid w:val="00637359"/>
    <w:rsid w:val="006C1F06"/>
    <w:rsid w:val="006D444F"/>
    <w:rsid w:val="00724742"/>
    <w:rsid w:val="00730650"/>
    <w:rsid w:val="00731832"/>
    <w:rsid w:val="00741046"/>
    <w:rsid w:val="00773F5D"/>
    <w:rsid w:val="007853E9"/>
    <w:rsid w:val="00797CBF"/>
    <w:rsid w:val="007A4AF6"/>
    <w:rsid w:val="007B4549"/>
    <w:rsid w:val="007B57EB"/>
    <w:rsid w:val="007C0285"/>
    <w:rsid w:val="007E587B"/>
    <w:rsid w:val="007F0566"/>
    <w:rsid w:val="00804BE0"/>
    <w:rsid w:val="00810603"/>
    <w:rsid w:val="00830EC7"/>
    <w:rsid w:val="008744CF"/>
    <w:rsid w:val="008A7E40"/>
    <w:rsid w:val="008D6B36"/>
    <w:rsid w:val="00903737"/>
    <w:rsid w:val="009141F6"/>
    <w:rsid w:val="00915492"/>
    <w:rsid w:val="009B0A9B"/>
    <w:rsid w:val="009C0696"/>
    <w:rsid w:val="009C7C23"/>
    <w:rsid w:val="009D2D21"/>
    <w:rsid w:val="00A058F9"/>
    <w:rsid w:val="00A20578"/>
    <w:rsid w:val="00A63D03"/>
    <w:rsid w:val="00A94224"/>
    <w:rsid w:val="00AC43AB"/>
    <w:rsid w:val="00AF0283"/>
    <w:rsid w:val="00B42B45"/>
    <w:rsid w:val="00B54AE2"/>
    <w:rsid w:val="00B551E1"/>
    <w:rsid w:val="00BD07F4"/>
    <w:rsid w:val="00BF7928"/>
    <w:rsid w:val="00C3110B"/>
    <w:rsid w:val="00C7505F"/>
    <w:rsid w:val="00CD7A09"/>
    <w:rsid w:val="00D1538E"/>
    <w:rsid w:val="00DB4379"/>
    <w:rsid w:val="00DF2EE2"/>
    <w:rsid w:val="00E119AA"/>
    <w:rsid w:val="00E8271D"/>
    <w:rsid w:val="00E85879"/>
    <w:rsid w:val="00E86418"/>
    <w:rsid w:val="00ED4E92"/>
    <w:rsid w:val="00F15EF8"/>
    <w:rsid w:val="00F442FB"/>
    <w:rsid w:val="00FA6764"/>
    <w:rsid w:val="00FB4BE9"/>
    <w:rsid w:val="00FF1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14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51"/>
    <w:pPr>
      <w:ind w:left="720"/>
      <w:contextualSpacing/>
    </w:pPr>
  </w:style>
  <w:style w:type="table" w:styleId="TableGrid">
    <w:name w:val="Table Grid"/>
    <w:basedOn w:val="TableNormal"/>
    <w:uiPriority w:val="59"/>
    <w:rsid w:val="00036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36E51"/>
    <w:rPr>
      <w:i/>
      <w:iCs/>
    </w:rPr>
  </w:style>
  <w:style w:type="paragraph" w:styleId="BalloonText">
    <w:name w:val="Balloon Text"/>
    <w:basedOn w:val="Normal"/>
    <w:link w:val="BalloonTextChar"/>
    <w:uiPriority w:val="99"/>
    <w:semiHidden/>
    <w:unhideWhenUsed/>
    <w:rsid w:val="000915E0"/>
    <w:rPr>
      <w:rFonts w:ascii="Tahoma" w:hAnsi="Tahoma" w:cs="Tahoma"/>
      <w:sz w:val="16"/>
      <w:szCs w:val="16"/>
    </w:rPr>
  </w:style>
  <w:style w:type="character" w:customStyle="1" w:styleId="BalloonTextChar">
    <w:name w:val="Balloon Text Char"/>
    <w:basedOn w:val="DefaultParagraphFont"/>
    <w:link w:val="BalloonText"/>
    <w:uiPriority w:val="99"/>
    <w:semiHidden/>
    <w:rsid w:val="000915E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C7C23"/>
    <w:rPr>
      <w:sz w:val="16"/>
      <w:szCs w:val="16"/>
    </w:rPr>
  </w:style>
  <w:style w:type="paragraph" w:styleId="CommentText">
    <w:name w:val="annotation text"/>
    <w:basedOn w:val="Normal"/>
    <w:link w:val="CommentTextChar"/>
    <w:uiPriority w:val="99"/>
    <w:semiHidden/>
    <w:unhideWhenUsed/>
    <w:rsid w:val="009C7C23"/>
    <w:rPr>
      <w:sz w:val="20"/>
      <w:szCs w:val="20"/>
    </w:rPr>
  </w:style>
  <w:style w:type="character" w:customStyle="1" w:styleId="CommentTextChar">
    <w:name w:val="Comment Text Char"/>
    <w:basedOn w:val="DefaultParagraphFont"/>
    <w:link w:val="CommentText"/>
    <w:uiPriority w:val="99"/>
    <w:semiHidden/>
    <w:rsid w:val="009C7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7C23"/>
    <w:rPr>
      <w:b/>
      <w:bCs/>
    </w:rPr>
  </w:style>
  <w:style w:type="character" w:customStyle="1" w:styleId="CommentSubjectChar">
    <w:name w:val="Comment Subject Char"/>
    <w:basedOn w:val="CommentTextChar"/>
    <w:link w:val="CommentSubject"/>
    <w:uiPriority w:val="99"/>
    <w:semiHidden/>
    <w:rsid w:val="009C7C2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A1BC4"/>
    <w:rPr>
      <w:color w:val="0000FF" w:themeColor="hyperlink"/>
      <w:u w:val="single"/>
    </w:rPr>
  </w:style>
  <w:style w:type="paragraph" w:styleId="Header">
    <w:name w:val="header"/>
    <w:basedOn w:val="Normal"/>
    <w:link w:val="HeaderChar"/>
    <w:uiPriority w:val="99"/>
    <w:unhideWhenUsed/>
    <w:rsid w:val="008D6B36"/>
    <w:pPr>
      <w:tabs>
        <w:tab w:val="center" w:pos="4680"/>
        <w:tab w:val="right" w:pos="9360"/>
      </w:tabs>
    </w:pPr>
  </w:style>
  <w:style w:type="character" w:customStyle="1" w:styleId="HeaderChar">
    <w:name w:val="Header Char"/>
    <w:basedOn w:val="DefaultParagraphFont"/>
    <w:link w:val="Header"/>
    <w:uiPriority w:val="99"/>
    <w:rsid w:val="008D6B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B36"/>
    <w:pPr>
      <w:tabs>
        <w:tab w:val="center" w:pos="4680"/>
        <w:tab w:val="right" w:pos="9360"/>
      </w:tabs>
    </w:pPr>
  </w:style>
  <w:style w:type="character" w:customStyle="1" w:styleId="FooterChar">
    <w:name w:val="Footer Char"/>
    <w:basedOn w:val="DefaultParagraphFont"/>
    <w:link w:val="Footer"/>
    <w:uiPriority w:val="99"/>
    <w:rsid w:val="008D6B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E51"/>
    <w:pPr>
      <w:ind w:left="720"/>
      <w:contextualSpacing/>
    </w:pPr>
  </w:style>
  <w:style w:type="table" w:styleId="TableGrid">
    <w:name w:val="Table Grid"/>
    <w:basedOn w:val="TableNormal"/>
    <w:uiPriority w:val="59"/>
    <w:rsid w:val="00036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36E51"/>
    <w:rPr>
      <w:i/>
      <w:iCs/>
    </w:rPr>
  </w:style>
  <w:style w:type="paragraph" w:styleId="BalloonText">
    <w:name w:val="Balloon Text"/>
    <w:basedOn w:val="Normal"/>
    <w:link w:val="BalloonTextChar"/>
    <w:uiPriority w:val="99"/>
    <w:semiHidden/>
    <w:unhideWhenUsed/>
    <w:rsid w:val="000915E0"/>
    <w:rPr>
      <w:rFonts w:ascii="Tahoma" w:hAnsi="Tahoma" w:cs="Tahoma"/>
      <w:sz w:val="16"/>
      <w:szCs w:val="16"/>
    </w:rPr>
  </w:style>
  <w:style w:type="character" w:customStyle="1" w:styleId="BalloonTextChar">
    <w:name w:val="Balloon Text Char"/>
    <w:basedOn w:val="DefaultParagraphFont"/>
    <w:link w:val="BalloonText"/>
    <w:uiPriority w:val="99"/>
    <w:semiHidden/>
    <w:rsid w:val="000915E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C7C23"/>
    <w:rPr>
      <w:sz w:val="16"/>
      <w:szCs w:val="16"/>
    </w:rPr>
  </w:style>
  <w:style w:type="paragraph" w:styleId="CommentText">
    <w:name w:val="annotation text"/>
    <w:basedOn w:val="Normal"/>
    <w:link w:val="CommentTextChar"/>
    <w:uiPriority w:val="99"/>
    <w:semiHidden/>
    <w:unhideWhenUsed/>
    <w:rsid w:val="009C7C23"/>
    <w:rPr>
      <w:sz w:val="20"/>
      <w:szCs w:val="20"/>
    </w:rPr>
  </w:style>
  <w:style w:type="character" w:customStyle="1" w:styleId="CommentTextChar">
    <w:name w:val="Comment Text Char"/>
    <w:basedOn w:val="DefaultParagraphFont"/>
    <w:link w:val="CommentText"/>
    <w:uiPriority w:val="99"/>
    <w:semiHidden/>
    <w:rsid w:val="009C7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7C23"/>
    <w:rPr>
      <w:b/>
      <w:bCs/>
    </w:rPr>
  </w:style>
  <w:style w:type="character" w:customStyle="1" w:styleId="CommentSubjectChar">
    <w:name w:val="Comment Subject Char"/>
    <w:basedOn w:val="CommentTextChar"/>
    <w:link w:val="CommentSubject"/>
    <w:uiPriority w:val="99"/>
    <w:semiHidden/>
    <w:rsid w:val="009C7C2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A1BC4"/>
    <w:rPr>
      <w:color w:val="0000FF" w:themeColor="hyperlink"/>
      <w:u w:val="single"/>
    </w:rPr>
  </w:style>
  <w:style w:type="paragraph" w:styleId="Header">
    <w:name w:val="header"/>
    <w:basedOn w:val="Normal"/>
    <w:link w:val="HeaderChar"/>
    <w:uiPriority w:val="99"/>
    <w:unhideWhenUsed/>
    <w:rsid w:val="008D6B36"/>
    <w:pPr>
      <w:tabs>
        <w:tab w:val="center" w:pos="4680"/>
        <w:tab w:val="right" w:pos="9360"/>
      </w:tabs>
    </w:pPr>
  </w:style>
  <w:style w:type="character" w:customStyle="1" w:styleId="HeaderChar">
    <w:name w:val="Header Char"/>
    <w:basedOn w:val="DefaultParagraphFont"/>
    <w:link w:val="Header"/>
    <w:uiPriority w:val="99"/>
    <w:rsid w:val="008D6B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B36"/>
    <w:pPr>
      <w:tabs>
        <w:tab w:val="center" w:pos="4680"/>
        <w:tab w:val="right" w:pos="9360"/>
      </w:tabs>
    </w:pPr>
  </w:style>
  <w:style w:type="character" w:customStyle="1" w:styleId="FooterChar">
    <w:name w:val="Footer Char"/>
    <w:basedOn w:val="DefaultParagraphFont"/>
    <w:link w:val="Footer"/>
    <w:uiPriority w:val="99"/>
    <w:rsid w:val="008D6B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5097">
      <w:bodyDiv w:val="1"/>
      <w:marLeft w:val="0"/>
      <w:marRight w:val="0"/>
      <w:marTop w:val="0"/>
      <w:marBottom w:val="0"/>
      <w:divBdr>
        <w:top w:val="none" w:sz="0" w:space="0" w:color="auto"/>
        <w:left w:val="none" w:sz="0" w:space="0" w:color="auto"/>
        <w:bottom w:val="none" w:sz="0" w:space="0" w:color="auto"/>
        <w:right w:val="none" w:sz="0" w:space="0" w:color="auto"/>
      </w:divBdr>
      <w:divsChild>
        <w:div w:id="1527326550">
          <w:marLeft w:val="979"/>
          <w:marRight w:val="0"/>
          <w:marTop w:val="65"/>
          <w:marBottom w:val="0"/>
          <w:divBdr>
            <w:top w:val="none" w:sz="0" w:space="0" w:color="auto"/>
            <w:left w:val="none" w:sz="0" w:space="0" w:color="auto"/>
            <w:bottom w:val="none" w:sz="0" w:space="0" w:color="auto"/>
            <w:right w:val="none" w:sz="0" w:space="0" w:color="auto"/>
          </w:divBdr>
        </w:div>
        <w:div w:id="959605826">
          <w:marLeft w:val="979"/>
          <w:marRight w:val="0"/>
          <w:marTop w:val="65"/>
          <w:marBottom w:val="0"/>
          <w:divBdr>
            <w:top w:val="none" w:sz="0" w:space="0" w:color="auto"/>
            <w:left w:val="none" w:sz="0" w:space="0" w:color="auto"/>
            <w:bottom w:val="none" w:sz="0" w:space="0" w:color="auto"/>
            <w:right w:val="none" w:sz="0" w:space="0" w:color="auto"/>
          </w:divBdr>
        </w:div>
        <w:div w:id="2008819688">
          <w:marLeft w:val="979"/>
          <w:marRight w:val="0"/>
          <w:marTop w:val="65"/>
          <w:marBottom w:val="0"/>
          <w:divBdr>
            <w:top w:val="none" w:sz="0" w:space="0" w:color="auto"/>
            <w:left w:val="none" w:sz="0" w:space="0" w:color="auto"/>
            <w:bottom w:val="none" w:sz="0" w:space="0" w:color="auto"/>
            <w:right w:val="none" w:sz="0" w:space="0" w:color="auto"/>
          </w:divBdr>
        </w:div>
        <w:div w:id="647824007">
          <w:marLeft w:val="979"/>
          <w:marRight w:val="0"/>
          <w:marTop w:val="65"/>
          <w:marBottom w:val="0"/>
          <w:divBdr>
            <w:top w:val="none" w:sz="0" w:space="0" w:color="auto"/>
            <w:left w:val="none" w:sz="0" w:space="0" w:color="auto"/>
            <w:bottom w:val="none" w:sz="0" w:space="0" w:color="auto"/>
            <w:right w:val="none" w:sz="0" w:space="0" w:color="auto"/>
          </w:divBdr>
        </w:div>
        <w:div w:id="1124617323">
          <w:marLeft w:val="979"/>
          <w:marRight w:val="0"/>
          <w:marTop w:val="65"/>
          <w:marBottom w:val="0"/>
          <w:divBdr>
            <w:top w:val="none" w:sz="0" w:space="0" w:color="auto"/>
            <w:left w:val="none" w:sz="0" w:space="0" w:color="auto"/>
            <w:bottom w:val="none" w:sz="0" w:space="0" w:color="auto"/>
            <w:right w:val="none" w:sz="0" w:space="0" w:color="auto"/>
          </w:divBdr>
        </w:div>
        <w:div w:id="735666882">
          <w:marLeft w:val="979"/>
          <w:marRight w:val="0"/>
          <w:marTop w:val="65"/>
          <w:marBottom w:val="0"/>
          <w:divBdr>
            <w:top w:val="none" w:sz="0" w:space="0" w:color="auto"/>
            <w:left w:val="none" w:sz="0" w:space="0" w:color="auto"/>
            <w:bottom w:val="none" w:sz="0" w:space="0" w:color="auto"/>
            <w:right w:val="none" w:sz="0" w:space="0" w:color="auto"/>
          </w:divBdr>
        </w:div>
        <w:div w:id="1105227370">
          <w:marLeft w:val="979"/>
          <w:marRight w:val="0"/>
          <w:marTop w:val="65"/>
          <w:marBottom w:val="0"/>
          <w:divBdr>
            <w:top w:val="none" w:sz="0" w:space="0" w:color="auto"/>
            <w:left w:val="none" w:sz="0" w:space="0" w:color="auto"/>
            <w:bottom w:val="none" w:sz="0" w:space="0" w:color="auto"/>
            <w:right w:val="none" w:sz="0" w:space="0" w:color="auto"/>
          </w:divBdr>
        </w:div>
        <w:div w:id="1442457750">
          <w:marLeft w:val="979"/>
          <w:marRight w:val="0"/>
          <w:marTop w:val="65"/>
          <w:marBottom w:val="0"/>
          <w:divBdr>
            <w:top w:val="none" w:sz="0" w:space="0" w:color="auto"/>
            <w:left w:val="none" w:sz="0" w:space="0" w:color="auto"/>
            <w:bottom w:val="none" w:sz="0" w:space="0" w:color="auto"/>
            <w:right w:val="none" w:sz="0" w:space="0" w:color="auto"/>
          </w:divBdr>
        </w:div>
        <w:div w:id="1821579966">
          <w:marLeft w:val="979"/>
          <w:marRight w:val="0"/>
          <w:marTop w:val="65"/>
          <w:marBottom w:val="0"/>
          <w:divBdr>
            <w:top w:val="none" w:sz="0" w:space="0" w:color="auto"/>
            <w:left w:val="none" w:sz="0" w:space="0" w:color="auto"/>
            <w:bottom w:val="none" w:sz="0" w:space="0" w:color="auto"/>
            <w:right w:val="none" w:sz="0" w:space="0" w:color="auto"/>
          </w:divBdr>
        </w:div>
      </w:divsChild>
    </w:div>
    <w:div w:id="494566028">
      <w:bodyDiv w:val="1"/>
      <w:marLeft w:val="0"/>
      <w:marRight w:val="0"/>
      <w:marTop w:val="0"/>
      <w:marBottom w:val="0"/>
      <w:divBdr>
        <w:top w:val="none" w:sz="0" w:space="0" w:color="auto"/>
        <w:left w:val="none" w:sz="0" w:space="0" w:color="auto"/>
        <w:bottom w:val="none" w:sz="0" w:space="0" w:color="auto"/>
        <w:right w:val="none" w:sz="0" w:space="0" w:color="auto"/>
      </w:divBdr>
    </w:div>
    <w:div w:id="737240586">
      <w:bodyDiv w:val="1"/>
      <w:marLeft w:val="0"/>
      <w:marRight w:val="0"/>
      <w:marTop w:val="0"/>
      <w:marBottom w:val="0"/>
      <w:divBdr>
        <w:top w:val="none" w:sz="0" w:space="0" w:color="auto"/>
        <w:left w:val="none" w:sz="0" w:space="0" w:color="auto"/>
        <w:bottom w:val="none" w:sz="0" w:space="0" w:color="auto"/>
        <w:right w:val="none" w:sz="0" w:space="0" w:color="auto"/>
      </w:divBdr>
    </w:div>
    <w:div w:id="1456868446">
      <w:bodyDiv w:val="1"/>
      <w:marLeft w:val="0"/>
      <w:marRight w:val="0"/>
      <w:marTop w:val="0"/>
      <w:marBottom w:val="0"/>
      <w:divBdr>
        <w:top w:val="none" w:sz="0" w:space="0" w:color="auto"/>
        <w:left w:val="none" w:sz="0" w:space="0" w:color="auto"/>
        <w:bottom w:val="none" w:sz="0" w:space="0" w:color="auto"/>
        <w:right w:val="none" w:sz="0" w:space="0" w:color="auto"/>
      </w:divBdr>
    </w:div>
    <w:div w:id="19144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1979</Words>
  <Characters>11283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Laura Newland</cp:lastModifiedBy>
  <cp:revision>7</cp:revision>
  <cp:lastPrinted>2016-01-15T21:34:00Z</cp:lastPrinted>
  <dcterms:created xsi:type="dcterms:W3CDTF">2016-05-01T18:15:00Z</dcterms:created>
  <dcterms:modified xsi:type="dcterms:W3CDTF">2016-05-01T18:58:00Z</dcterms:modified>
</cp:coreProperties>
</file>