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51" w:rsidRPr="0014794A" w:rsidRDefault="00036E51" w:rsidP="00036E51">
      <w:pPr>
        <w:jc w:val="center"/>
        <w:rPr>
          <w:rFonts w:ascii="Arial" w:hAnsi="Arial" w:cs="Arial"/>
          <w:b/>
        </w:rPr>
      </w:pPr>
      <w:r>
        <w:rPr>
          <w:rFonts w:ascii="Arial" w:hAnsi="Arial" w:cs="Arial"/>
          <w:b/>
        </w:rPr>
        <w:t>Quarterly Olmstead Community Integration Summary</w:t>
      </w:r>
    </w:p>
    <w:p w:rsidR="00036E51" w:rsidRPr="0014794A" w:rsidRDefault="00036E51" w:rsidP="00036E51">
      <w:pPr>
        <w:jc w:val="center"/>
        <w:rPr>
          <w:rFonts w:ascii="Arial" w:hAnsi="Arial" w:cs="Arial"/>
          <w:b/>
        </w:rPr>
      </w:pPr>
    </w:p>
    <w:p w:rsidR="00036E51" w:rsidRPr="0014794A" w:rsidRDefault="00036E51" w:rsidP="00036E51">
      <w:pPr>
        <w:numPr>
          <w:ilvl w:val="0"/>
          <w:numId w:val="1"/>
        </w:numPr>
        <w:rPr>
          <w:rFonts w:ascii="Arial" w:hAnsi="Arial" w:cs="Arial"/>
          <w:b/>
        </w:rPr>
      </w:pPr>
      <w:r w:rsidRPr="0014794A">
        <w:rPr>
          <w:rFonts w:ascii="Arial" w:hAnsi="Arial" w:cs="Arial"/>
          <w:b/>
        </w:rPr>
        <w:t xml:space="preserve">Report For:  </w:t>
      </w:r>
      <w:r w:rsidR="0020380B" w:rsidRPr="00AD6889">
        <w:rPr>
          <w:rFonts w:ascii="Arial" w:hAnsi="Arial" w:cs="Arial"/>
        </w:rPr>
        <w:t>First</w:t>
      </w:r>
      <w:r w:rsidRPr="00AD6889">
        <w:rPr>
          <w:rFonts w:ascii="Arial" w:hAnsi="Arial" w:cs="Arial"/>
        </w:rPr>
        <w:t xml:space="preserve"> </w:t>
      </w:r>
      <w:r w:rsidR="007B4549">
        <w:rPr>
          <w:rFonts w:ascii="Arial" w:hAnsi="Arial" w:cs="Arial"/>
        </w:rPr>
        <w:t>Quarter 2016</w:t>
      </w:r>
    </w:p>
    <w:p w:rsidR="00036E51" w:rsidRPr="0014794A" w:rsidRDefault="00036E51" w:rsidP="00036E51">
      <w:pPr>
        <w:numPr>
          <w:ilvl w:val="0"/>
          <w:numId w:val="1"/>
        </w:numPr>
        <w:rPr>
          <w:rFonts w:ascii="Arial" w:hAnsi="Arial" w:cs="Arial"/>
          <w:b/>
        </w:rPr>
      </w:pPr>
      <w:r w:rsidRPr="0014794A">
        <w:rPr>
          <w:rFonts w:ascii="Arial" w:hAnsi="Arial" w:cs="Arial"/>
          <w:b/>
        </w:rPr>
        <w:t xml:space="preserve">Prepared By:  </w:t>
      </w:r>
      <w:r w:rsidR="0020380B">
        <w:rPr>
          <w:rFonts w:ascii="Arial" w:hAnsi="Arial" w:cs="Arial"/>
        </w:rPr>
        <w:t>Department of Health Care Finance</w:t>
      </w:r>
    </w:p>
    <w:p w:rsidR="00036E51" w:rsidRPr="00AD6889" w:rsidRDefault="0020380B" w:rsidP="00036E51">
      <w:pPr>
        <w:numPr>
          <w:ilvl w:val="0"/>
          <w:numId w:val="1"/>
        </w:numPr>
        <w:rPr>
          <w:rFonts w:ascii="Arial" w:hAnsi="Arial" w:cs="Arial"/>
        </w:rPr>
      </w:pPr>
      <w:r>
        <w:rPr>
          <w:rFonts w:ascii="Arial" w:hAnsi="Arial" w:cs="Arial"/>
          <w:b/>
        </w:rPr>
        <w:t xml:space="preserve">Date Submitted: </w:t>
      </w:r>
      <w:r w:rsidRPr="00AD6889">
        <w:rPr>
          <w:rFonts w:ascii="Arial" w:hAnsi="Arial" w:cs="Arial"/>
        </w:rPr>
        <w:t xml:space="preserve">April </w:t>
      </w:r>
      <w:r w:rsidR="001B00DB">
        <w:rPr>
          <w:rFonts w:ascii="Arial" w:hAnsi="Arial" w:cs="Arial"/>
        </w:rPr>
        <w:t>25,</w:t>
      </w:r>
      <w:r w:rsidRPr="00AD6889">
        <w:rPr>
          <w:rFonts w:ascii="Arial" w:hAnsi="Arial" w:cs="Arial"/>
        </w:rPr>
        <w:t xml:space="preserve"> 2016</w:t>
      </w:r>
      <w:r w:rsidR="000915E0" w:rsidRPr="00AD6889">
        <w:rPr>
          <w:rFonts w:ascii="Arial" w:hAnsi="Arial" w:cs="Arial"/>
        </w:rPr>
        <w:t xml:space="preserve"> </w:t>
      </w:r>
    </w:p>
    <w:p w:rsidR="00036E51" w:rsidRPr="0014794A" w:rsidRDefault="00036E51" w:rsidP="00036E51">
      <w:pPr>
        <w:tabs>
          <w:tab w:val="left" w:pos="8160"/>
        </w:tabs>
        <w:ind w:left="270"/>
        <w:rPr>
          <w:rFonts w:ascii="Arial" w:hAnsi="Arial" w:cs="Arial"/>
        </w:rPr>
      </w:pPr>
      <w:r>
        <w:rPr>
          <w:rFonts w:ascii="Arial" w:hAnsi="Arial" w:cs="Arial"/>
        </w:rPr>
        <w:tab/>
      </w: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036E51" w:rsidRPr="0014794A" w:rsidTr="00425505">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6E51" w:rsidRPr="0014794A" w:rsidRDefault="00036E51" w:rsidP="00F96AEB">
            <w:pPr>
              <w:tabs>
                <w:tab w:val="left" w:pos="2520"/>
              </w:tabs>
              <w:jc w:val="center"/>
              <w:rPr>
                <w:rFonts w:ascii="Arial" w:hAnsi="Arial" w:cs="Arial"/>
                <w:b/>
                <w:lang w:val="en"/>
              </w:rPr>
            </w:pPr>
            <w:r w:rsidRPr="0014794A">
              <w:rPr>
                <w:rFonts w:ascii="Arial" w:hAnsi="Arial" w:cs="Arial"/>
                <w:b/>
                <w:lang w:val="en"/>
              </w:rPr>
              <w:t>Community Integration (Olmstead Plan)</w:t>
            </w:r>
          </w:p>
          <w:p w:rsidR="00036E51" w:rsidRPr="0014794A" w:rsidRDefault="00036E51" w:rsidP="00F96AEB">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6E51" w:rsidRPr="0014794A" w:rsidRDefault="00036E51" w:rsidP="00F96AEB">
            <w:pPr>
              <w:tabs>
                <w:tab w:val="left" w:pos="2520"/>
              </w:tabs>
              <w:jc w:val="center"/>
              <w:rPr>
                <w:rFonts w:ascii="Arial" w:hAnsi="Arial" w:cs="Arial"/>
                <w:b/>
                <w:lang w:val="en"/>
              </w:rPr>
            </w:pPr>
            <w:r w:rsidRPr="0014794A">
              <w:rPr>
                <w:rFonts w:ascii="Arial" w:hAnsi="Arial" w:cs="Arial"/>
                <w:b/>
                <w:lang w:val="en"/>
              </w:rPr>
              <w:t>Agency Leadership</w:t>
            </w:r>
          </w:p>
        </w:tc>
      </w:tr>
      <w:tr w:rsidR="00036E51" w:rsidRPr="0014794A" w:rsidTr="00425505">
        <w:tc>
          <w:tcPr>
            <w:tcW w:w="2400" w:type="dxa"/>
            <w:tcBorders>
              <w:top w:val="single" w:sz="4" w:space="0" w:color="auto"/>
              <w:left w:val="single" w:sz="4" w:space="0" w:color="auto"/>
              <w:bottom w:val="single" w:sz="4" w:space="0" w:color="auto"/>
              <w:right w:val="single" w:sz="4" w:space="0" w:color="auto"/>
            </w:tcBorders>
            <w:vAlign w:val="center"/>
            <w:hideMark/>
          </w:tcPr>
          <w:p w:rsidR="00036E51" w:rsidRPr="0014794A" w:rsidRDefault="0020380B" w:rsidP="00F96AEB">
            <w:pPr>
              <w:tabs>
                <w:tab w:val="left" w:pos="2520"/>
              </w:tabs>
              <w:jc w:val="center"/>
              <w:rPr>
                <w:rFonts w:ascii="Arial" w:hAnsi="Arial" w:cs="Arial"/>
                <w:lang w:val="en"/>
              </w:rPr>
            </w:pPr>
            <w:r>
              <w:rPr>
                <w:rFonts w:ascii="Arial" w:hAnsi="Arial" w:cs="Arial"/>
                <w:lang w:val="en"/>
              </w:rPr>
              <w:t>Leyla Sarigol</w:t>
            </w:r>
          </w:p>
        </w:tc>
        <w:tc>
          <w:tcPr>
            <w:tcW w:w="3360" w:type="dxa"/>
            <w:tcBorders>
              <w:top w:val="single" w:sz="4" w:space="0" w:color="auto"/>
              <w:left w:val="single" w:sz="4" w:space="0" w:color="auto"/>
              <w:bottom w:val="single" w:sz="4" w:space="0" w:color="auto"/>
              <w:right w:val="single" w:sz="4" w:space="0" w:color="auto"/>
            </w:tcBorders>
            <w:vAlign w:val="center"/>
            <w:hideMark/>
          </w:tcPr>
          <w:p w:rsidR="00036E51" w:rsidRPr="0014794A" w:rsidRDefault="0020380B" w:rsidP="00F96AEB">
            <w:pPr>
              <w:tabs>
                <w:tab w:val="left" w:pos="2520"/>
              </w:tabs>
              <w:jc w:val="center"/>
              <w:rPr>
                <w:rFonts w:ascii="Arial" w:hAnsi="Arial" w:cs="Arial"/>
                <w:lang w:val="en"/>
              </w:rPr>
            </w:pPr>
            <w:r>
              <w:rPr>
                <w:rFonts w:ascii="Arial" w:hAnsi="Arial" w:cs="Arial"/>
                <w:lang w:val="en"/>
              </w:rPr>
              <w:t>Wayne Turnage/Claudia Schlosberg</w:t>
            </w:r>
          </w:p>
        </w:tc>
      </w:tr>
    </w:tbl>
    <w:p w:rsidR="00804BE0" w:rsidRDefault="00804BE0" w:rsidP="00810603">
      <w:pPr>
        <w:jc w:val="center"/>
        <w:rPr>
          <w:rFonts w:ascii="Arial" w:hAnsi="Arial" w:cs="Arial"/>
        </w:rPr>
      </w:pPr>
    </w:p>
    <w:p w:rsidR="00425505" w:rsidRDefault="00425505" w:rsidP="00804BE0">
      <w:pPr>
        <w:rPr>
          <w:rFonts w:ascii="Arial" w:hAnsi="Arial" w:cs="Arial"/>
        </w:rPr>
      </w:pPr>
    </w:p>
    <w:tbl>
      <w:tblPr>
        <w:tblW w:w="151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6"/>
        <w:gridCol w:w="1537"/>
        <w:gridCol w:w="1254"/>
        <w:gridCol w:w="985"/>
        <w:gridCol w:w="1423"/>
        <w:gridCol w:w="1166"/>
        <w:gridCol w:w="1067"/>
        <w:gridCol w:w="1160"/>
        <w:gridCol w:w="1155"/>
        <w:gridCol w:w="898"/>
        <w:gridCol w:w="1079"/>
        <w:gridCol w:w="1248"/>
      </w:tblGrid>
      <w:tr w:rsidR="003B474A" w:rsidTr="003B474A">
        <w:trPr>
          <w:cantSplit/>
          <w:trHeight w:val="1763"/>
        </w:trPr>
        <w:tc>
          <w:tcPr>
            <w:tcW w:w="2166"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aps/>
                <w:color w:val="000000"/>
              </w:rPr>
            </w:pPr>
            <w:r>
              <w:rPr>
                <w:rFonts w:ascii="Arial" w:hAnsi="Arial" w:cs="Arial"/>
                <w:b/>
                <w:bCs/>
                <w:caps/>
                <w:color w:val="000000"/>
              </w:rPr>
              <w:t>Number of PEOPLe to be Moved to Community Services</w:t>
            </w:r>
          </w:p>
          <w:p w:rsidR="003B474A" w:rsidRDefault="003B474A" w:rsidP="008C6791">
            <w:pPr>
              <w:jc w:val="center"/>
              <w:rPr>
                <w:rFonts w:ascii="Arial" w:eastAsiaTheme="minorHAnsi" w:hAnsi="Arial" w:cs="Arial"/>
                <w:b/>
                <w:bCs/>
                <w:color w:val="FF0000"/>
                <w:sz w:val="22"/>
                <w:szCs w:val="22"/>
              </w:rPr>
            </w:pPr>
            <w:r>
              <w:rPr>
                <w:rFonts w:ascii="Arial" w:hAnsi="Arial" w:cs="Arial"/>
                <w:b/>
                <w:bCs/>
                <w:caps/>
                <w:color w:val="FF0000"/>
              </w:rPr>
              <w:t>GOAL</w:t>
            </w:r>
          </w:p>
        </w:tc>
        <w:tc>
          <w:tcPr>
            <w:tcW w:w="1537"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olor w:val="000000"/>
                <w:sz w:val="22"/>
                <w:szCs w:val="22"/>
              </w:rPr>
            </w:pPr>
            <w:r>
              <w:rPr>
                <w:rFonts w:ascii="Arial" w:hAnsi="Arial" w:cs="Arial"/>
                <w:b/>
                <w:bCs/>
                <w:caps/>
                <w:color w:val="000000"/>
              </w:rPr>
              <w:t>Descrip-tion</w:t>
            </w:r>
          </w:p>
        </w:tc>
        <w:tc>
          <w:tcPr>
            <w:tcW w:w="1254"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hAnsi="Arial" w:cs="Arial"/>
                <w:b/>
                <w:bCs/>
                <w:color w:val="000000"/>
              </w:rPr>
            </w:pPr>
            <w:r>
              <w:rPr>
                <w:rFonts w:ascii="Arial" w:hAnsi="Arial" w:cs="Arial"/>
                <w:b/>
                <w:bCs/>
                <w:color w:val="000000"/>
              </w:rPr>
              <w:t>CY1</w:t>
            </w:r>
          </w:p>
          <w:p w:rsidR="003B474A" w:rsidRDefault="003B474A" w:rsidP="008C6791">
            <w:pPr>
              <w:jc w:val="center"/>
              <w:rPr>
                <w:rFonts w:ascii="Arial" w:eastAsiaTheme="minorHAnsi" w:hAnsi="Arial" w:cs="Arial"/>
                <w:b/>
                <w:bCs/>
                <w:color w:val="000000"/>
              </w:rPr>
            </w:pPr>
            <w:r>
              <w:rPr>
                <w:rFonts w:ascii="Arial" w:hAnsi="Arial" w:cs="Arial"/>
                <w:b/>
                <w:bCs/>
                <w:color w:val="000000"/>
              </w:rPr>
              <w:t>(Jan-Mar) Progress</w:t>
            </w:r>
          </w:p>
        </w:tc>
        <w:tc>
          <w:tcPr>
            <w:tcW w:w="985"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eastAsiaTheme="minorHAnsi" w:hAnsi="Arial" w:cs="Arial"/>
                <w:b/>
                <w:bCs/>
                <w:color w:val="000000"/>
              </w:rPr>
            </w:pPr>
            <w:r>
              <w:rPr>
                <w:rFonts w:ascii="Arial" w:hAnsi="Arial" w:cs="Arial"/>
                <w:b/>
                <w:bCs/>
                <w:color w:val="000000"/>
              </w:rPr>
              <w:t>% of Annual Goal CY1</w:t>
            </w:r>
          </w:p>
        </w:tc>
        <w:tc>
          <w:tcPr>
            <w:tcW w:w="1423"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eastAsiaTheme="minorHAnsi" w:hAnsi="Arial" w:cs="Arial"/>
                <w:b/>
                <w:bCs/>
                <w:color w:val="000000"/>
              </w:rPr>
            </w:pPr>
            <w:r>
              <w:rPr>
                <w:rFonts w:ascii="Arial" w:hAnsi="Arial" w:cs="Arial"/>
                <w:b/>
                <w:bCs/>
                <w:color w:val="000000"/>
              </w:rPr>
              <w:t>CY2</w:t>
            </w:r>
          </w:p>
          <w:p w:rsidR="003B474A" w:rsidRDefault="003B474A" w:rsidP="008C6791">
            <w:pPr>
              <w:jc w:val="center"/>
              <w:rPr>
                <w:rFonts w:ascii="Arial" w:hAnsi="Arial" w:cs="Arial"/>
                <w:b/>
                <w:bCs/>
                <w:color w:val="000000"/>
              </w:rPr>
            </w:pPr>
            <w:r>
              <w:rPr>
                <w:rFonts w:ascii="Arial" w:hAnsi="Arial" w:cs="Arial"/>
                <w:b/>
                <w:bCs/>
                <w:color w:val="000000"/>
              </w:rPr>
              <w:t>(Apr-Jun)</w:t>
            </w:r>
          </w:p>
          <w:p w:rsidR="003B474A" w:rsidRDefault="003B474A" w:rsidP="008C6791">
            <w:pPr>
              <w:jc w:val="center"/>
              <w:rPr>
                <w:rFonts w:ascii="Arial" w:eastAsiaTheme="minorHAnsi" w:hAnsi="Arial" w:cs="Arial"/>
                <w:b/>
                <w:bCs/>
                <w:color w:val="000000"/>
                <w:sz w:val="22"/>
                <w:szCs w:val="22"/>
              </w:rPr>
            </w:pPr>
            <w:r>
              <w:rPr>
                <w:rFonts w:ascii="Arial" w:hAnsi="Arial" w:cs="Arial"/>
                <w:b/>
                <w:bCs/>
                <w:color w:val="000000"/>
              </w:rPr>
              <w:t>Prog.</w:t>
            </w:r>
          </w:p>
        </w:tc>
        <w:tc>
          <w:tcPr>
            <w:tcW w:w="1166" w:type="dxa"/>
            <w:shd w:val="clear" w:color="auto" w:fill="808080" w:themeFill="background1" w:themeFillShade="80"/>
            <w:tcMar>
              <w:top w:w="0" w:type="dxa"/>
              <w:left w:w="108" w:type="dxa"/>
              <w:bottom w:w="0" w:type="dxa"/>
              <w:right w:w="108" w:type="dxa"/>
            </w:tcMar>
            <w:vAlign w:val="center"/>
            <w:hideMark/>
          </w:tcPr>
          <w:p w:rsidR="003B474A" w:rsidRDefault="003B474A" w:rsidP="008C6791">
            <w:pPr>
              <w:jc w:val="center"/>
              <w:rPr>
                <w:rFonts w:ascii="Arial" w:hAnsi="Arial" w:cs="Arial"/>
                <w:b/>
                <w:bCs/>
                <w:color w:val="000000"/>
              </w:rPr>
            </w:pPr>
          </w:p>
          <w:p w:rsidR="003B474A" w:rsidRDefault="003B474A" w:rsidP="008C6791">
            <w:pPr>
              <w:jc w:val="center"/>
              <w:rPr>
                <w:rFonts w:ascii="Arial" w:eastAsiaTheme="minorHAnsi" w:hAnsi="Arial" w:cs="Arial"/>
                <w:b/>
                <w:bCs/>
                <w:color w:val="000000"/>
                <w:sz w:val="22"/>
                <w:szCs w:val="22"/>
              </w:rPr>
            </w:pPr>
            <w:r>
              <w:rPr>
                <w:rFonts w:ascii="Arial" w:hAnsi="Arial" w:cs="Arial"/>
                <w:b/>
                <w:bCs/>
                <w:color w:val="000000"/>
              </w:rPr>
              <w:t>% of Annual Goal CY2</w:t>
            </w:r>
          </w:p>
        </w:tc>
        <w:tc>
          <w:tcPr>
            <w:tcW w:w="1067" w:type="dxa"/>
            <w:shd w:val="clear" w:color="auto" w:fill="808080" w:themeFill="background1" w:themeFillShade="80"/>
          </w:tcPr>
          <w:p w:rsidR="003B474A" w:rsidRDefault="003B474A" w:rsidP="008C6791">
            <w:pPr>
              <w:spacing w:line="276" w:lineRule="auto"/>
              <w:jc w:val="center"/>
              <w:rPr>
                <w:rFonts w:ascii="Arial" w:hAnsi="Arial" w:cs="Arial"/>
                <w:b/>
                <w:bCs/>
                <w:color w:val="000000"/>
              </w:rPr>
            </w:pPr>
          </w:p>
          <w:p w:rsidR="003B474A" w:rsidRDefault="003B474A" w:rsidP="008C6791">
            <w:pPr>
              <w:spacing w:line="276" w:lineRule="auto"/>
              <w:jc w:val="center"/>
              <w:rPr>
                <w:rFonts w:ascii="Arial" w:hAnsi="Arial" w:cs="Arial"/>
                <w:b/>
                <w:bCs/>
                <w:color w:val="000000"/>
              </w:rPr>
            </w:pPr>
          </w:p>
          <w:p w:rsidR="003B474A" w:rsidRPr="00810603" w:rsidRDefault="003B474A" w:rsidP="008C6791">
            <w:pPr>
              <w:spacing w:line="276" w:lineRule="auto"/>
              <w:jc w:val="center"/>
              <w:rPr>
                <w:rFonts w:ascii="Arial" w:hAnsi="Arial" w:cs="Arial"/>
                <w:b/>
                <w:bCs/>
                <w:color w:val="000000"/>
              </w:rPr>
            </w:pPr>
            <w:r>
              <w:rPr>
                <w:rFonts w:ascii="Arial" w:hAnsi="Arial" w:cs="Arial"/>
                <w:b/>
                <w:bCs/>
                <w:color w:val="000000"/>
              </w:rPr>
              <w:t>CY3</w:t>
            </w:r>
          </w:p>
          <w:p w:rsidR="003B474A" w:rsidRDefault="003B474A" w:rsidP="008C6791">
            <w:pPr>
              <w:spacing w:line="276" w:lineRule="auto"/>
              <w:jc w:val="center"/>
              <w:rPr>
                <w:rFonts w:ascii="Arial" w:hAnsi="Arial" w:cs="Arial"/>
                <w:b/>
                <w:bCs/>
                <w:color w:val="000000"/>
              </w:rPr>
            </w:pPr>
            <w:r>
              <w:rPr>
                <w:rFonts w:ascii="Arial" w:hAnsi="Arial" w:cs="Arial"/>
                <w:b/>
                <w:bCs/>
                <w:color w:val="000000"/>
              </w:rPr>
              <w:t>(Jul-Sep)</w:t>
            </w:r>
          </w:p>
          <w:p w:rsidR="003B474A" w:rsidRDefault="003B474A" w:rsidP="008C6791">
            <w:pPr>
              <w:spacing w:line="276" w:lineRule="auto"/>
              <w:jc w:val="center"/>
              <w:rPr>
                <w:rFonts w:ascii="Arial" w:eastAsiaTheme="minorHAnsi" w:hAnsi="Arial" w:cs="Arial"/>
                <w:b/>
                <w:bCs/>
                <w:color w:val="000000"/>
              </w:rPr>
            </w:pPr>
            <w:r>
              <w:rPr>
                <w:rFonts w:ascii="Arial" w:hAnsi="Arial" w:cs="Arial"/>
                <w:b/>
                <w:bCs/>
                <w:color w:val="000000"/>
              </w:rPr>
              <w:t>Prog.</w:t>
            </w:r>
          </w:p>
        </w:tc>
        <w:tc>
          <w:tcPr>
            <w:tcW w:w="1160" w:type="dxa"/>
            <w:shd w:val="clear" w:color="auto" w:fill="808080" w:themeFill="background1" w:themeFillShade="80"/>
          </w:tcPr>
          <w:p w:rsidR="003B474A" w:rsidRDefault="003B474A" w:rsidP="008C6791">
            <w:pPr>
              <w:spacing w:line="276" w:lineRule="auto"/>
              <w:jc w:val="center"/>
              <w:rPr>
                <w:rFonts w:ascii="Arial" w:hAnsi="Arial" w:cs="Arial"/>
                <w:b/>
                <w:bCs/>
                <w:color w:val="000000"/>
              </w:rPr>
            </w:pPr>
          </w:p>
          <w:p w:rsidR="003B474A" w:rsidRDefault="003B474A" w:rsidP="008C6791">
            <w:pPr>
              <w:spacing w:line="276" w:lineRule="auto"/>
              <w:jc w:val="center"/>
              <w:rPr>
                <w:rFonts w:ascii="Arial" w:hAnsi="Arial" w:cs="Arial"/>
                <w:b/>
                <w:bCs/>
                <w:color w:val="000000"/>
              </w:rPr>
            </w:pPr>
          </w:p>
          <w:p w:rsidR="003B474A" w:rsidRDefault="003B474A" w:rsidP="008C6791">
            <w:pPr>
              <w:spacing w:line="276" w:lineRule="auto"/>
              <w:jc w:val="center"/>
              <w:rPr>
                <w:rFonts w:ascii="Arial" w:eastAsiaTheme="minorHAnsi" w:hAnsi="Arial" w:cs="Arial"/>
                <w:b/>
                <w:bCs/>
                <w:color w:val="000000"/>
              </w:rPr>
            </w:pPr>
            <w:r>
              <w:rPr>
                <w:rFonts w:ascii="Arial" w:hAnsi="Arial" w:cs="Arial"/>
                <w:b/>
                <w:bCs/>
                <w:color w:val="000000"/>
              </w:rPr>
              <w:t>% of Annual Goal CY3</w:t>
            </w:r>
          </w:p>
        </w:tc>
        <w:tc>
          <w:tcPr>
            <w:tcW w:w="1155"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CY 4</w:t>
            </w: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(Oct- Dec)</w:t>
            </w: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Prog.</w:t>
            </w:r>
          </w:p>
        </w:tc>
        <w:tc>
          <w:tcPr>
            <w:tcW w:w="898"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eastAsiaTheme="minorHAnsi" w:hAnsi="Arial" w:cs="Arial"/>
                <w:b/>
                <w:bCs/>
                <w:color w:val="000000"/>
              </w:rPr>
            </w:pPr>
            <w:r>
              <w:rPr>
                <w:rFonts w:ascii="Arial" w:eastAsiaTheme="minorHAnsi" w:hAnsi="Arial" w:cs="Arial"/>
                <w:b/>
                <w:bCs/>
                <w:color w:val="000000"/>
              </w:rPr>
              <w:t>% of Annual Goal CY4</w:t>
            </w:r>
          </w:p>
        </w:tc>
        <w:tc>
          <w:tcPr>
            <w:tcW w:w="1079" w:type="dxa"/>
            <w:shd w:val="clear" w:color="auto" w:fill="808080" w:themeFill="background1" w:themeFillShade="80"/>
          </w:tcPr>
          <w:p w:rsidR="003B474A" w:rsidRDefault="003B474A" w:rsidP="008C6791">
            <w:pPr>
              <w:jc w:val="center"/>
              <w:rPr>
                <w:rFonts w:ascii="Arial" w:eastAsiaTheme="minorHAnsi"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hAnsi="Arial" w:cs="Arial"/>
                <w:b/>
                <w:bCs/>
                <w:color w:val="000000"/>
              </w:rPr>
            </w:pPr>
          </w:p>
          <w:p w:rsidR="003B474A" w:rsidRDefault="003B474A" w:rsidP="008C6791">
            <w:pPr>
              <w:jc w:val="center"/>
              <w:rPr>
                <w:rFonts w:ascii="Arial" w:eastAsiaTheme="minorHAnsi" w:hAnsi="Arial" w:cs="Arial"/>
                <w:b/>
                <w:bCs/>
                <w:color w:val="000000"/>
              </w:rPr>
            </w:pPr>
            <w:r>
              <w:rPr>
                <w:rFonts w:ascii="Arial" w:hAnsi="Arial" w:cs="Arial"/>
                <w:b/>
                <w:bCs/>
                <w:color w:val="000000"/>
              </w:rPr>
              <w:t>Total Progress</w:t>
            </w:r>
          </w:p>
        </w:tc>
        <w:tc>
          <w:tcPr>
            <w:tcW w:w="1248" w:type="dxa"/>
            <w:shd w:val="clear" w:color="auto" w:fill="808080" w:themeFill="background1" w:themeFillShade="80"/>
            <w:vAlign w:val="center"/>
          </w:tcPr>
          <w:p w:rsidR="003B474A" w:rsidRDefault="009141F6" w:rsidP="008C6791">
            <w:pPr>
              <w:jc w:val="center"/>
              <w:rPr>
                <w:rFonts w:ascii="Arial" w:eastAsiaTheme="minorHAnsi" w:hAnsi="Arial" w:cs="Arial"/>
                <w:b/>
                <w:bCs/>
                <w:color w:val="FF0000"/>
                <w:sz w:val="22"/>
                <w:szCs w:val="22"/>
              </w:rPr>
            </w:pPr>
            <w:r w:rsidRPr="009141F6">
              <w:rPr>
                <w:rFonts w:ascii="Arial" w:hAnsi="Arial" w:cs="Arial"/>
                <w:b/>
                <w:bCs/>
                <w:caps/>
                <w:color w:val="000000"/>
              </w:rPr>
              <w:t>Total % of Annual Goal</w:t>
            </w:r>
          </w:p>
        </w:tc>
      </w:tr>
      <w:tr w:rsidR="003B474A" w:rsidTr="003B474A">
        <w:trPr>
          <w:cantSplit/>
          <w:trHeight w:val="1232"/>
        </w:trPr>
        <w:tc>
          <w:tcPr>
            <w:tcW w:w="2166" w:type="dxa"/>
            <w:shd w:val="clear" w:color="auto" w:fill="BFBFBF"/>
            <w:tcMar>
              <w:top w:w="0" w:type="dxa"/>
              <w:left w:w="108" w:type="dxa"/>
              <w:bottom w:w="0" w:type="dxa"/>
              <w:right w:w="108" w:type="dxa"/>
            </w:tcMar>
            <w:vAlign w:val="center"/>
            <w:hideMark/>
          </w:tcPr>
          <w:p w:rsidR="003B474A" w:rsidRDefault="007B4549" w:rsidP="007B4549">
            <w:pPr>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Numerical Goal </w:t>
            </w:r>
          </w:p>
        </w:tc>
        <w:tc>
          <w:tcPr>
            <w:tcW w:w="1537" w:type="dxa"/>
            <w:shd w:val="clear" w:color="auto" w:fill="BFBFBF"/>
            <w:tcMar>
              <w:top w:w="0" w:type="dxa"/>
              <w:left w:w="108" w:type="dxa"/>
              <w:bottom w:w="0" w:type="dxa"/>
              <w:right w:w="108" w:type="dxa"/>
            </w:tcMar>
            <w:vAlign w:val="center"/>
            <w:hideMark/>
          </w:tcPr>
          <w:p w:rsidR="003B474A" w:rsidRPr="002455F4" w:rsidRDefault="007B4549" w:rsidP="008C6791">
            <w:pPr>
              <w:jc w:val="center"/>
              <w:rPr>
                <w:rFonts w:ascii="Arial" w:eastAsiaTheme="minorHAnsi" w:hAnsi="Arial" w:cs="Arial"/>
                <w:b/>
                <w:bCs/>
                <w:color w:val="000000"/>
                <w:sz w:val="22"/>
                <w:szCs w:val="22"/>
              </w:rPr>
            </w:pPr>
            <w:r>
              <w:rPr>
                <w:rFonts w:ascii="Arial" w:hAnsi="Arial" w:cs="Arial"/>
                <w:b/>
                <w:bCs/>
                <w:color w:val="000000"/>
                <w:sz w:val="22"/>
                <w:szCs w:val="22"/>
              </w:rPr>
              <w:t>How agency arrived at number; what is it</w:t>
            </w:r>
          </w:p>
        </w:tc>
        <w:tc>
          <w:tcPr>
            <w:tcW w:w="1254" w:type="dxa"/>
            <w:shd w:val="clear" w:color="auto" w:fill="BFBFBF"/>
            <w:vAlign w:val="center"/>
            <w:hideMark/>
          </w:tcPr>
          <w:p w:rsidR="003B474A" w:rsidRDefault="007B4549"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___</w:t>
            </w:r>
          </w:p>
        </w:tc>
        <w:tc>
          <w:tcPr>
            <w:tcW w:w="985" w:type="dxa"/>
            <w:shd w:val="clear" w:color="auto" w:fill="BFBFBF"/>
            <w:vAlign w:val="center"/>
            <w:hideMark/>
          </w:tcPr>
          <w:p w:rsidR="003B474A" w:rsidRDefault="003B474A" w:rsidP="008C6791">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w:t>
            </w:r>
          </w:p>
        </w:tc>
        <w:tc>
          <w:tcPr>
            <w:tcW w:w="1423" w:type="dxa"/>
            <w:shd w:val="clear" w:color="auto" w:fill="BFBFBF"/>
            <w:tcMar>
              <w:top w:w="0" w:type="dxa"/>
              <w:left w:w="108" w:type="dxa"/>
              <w:bottom w:w="0" w:type="dxa"/>
              <w:right w:w="108" w:type="dxa"/>
            </w:tcMar>
            <w:vAlign w:val="center"/>
            <w:hideMark/>
          </w:tcPr>
          <w:p w:rsidR="003B474A" w:rsidRDefault="007B4549" w:rsidP="008C6791">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___</w:t>
            </w:r>
          </w:p>
        </w:tc>
        <w:tc>
          <w:tcPr>
            <w:tcW w:w="1166" w:type="dxa"/>
            <w:shd w:val="clear" w:color="auto" w:fill="BFBFBF"/>
            <w:tcMar>
              <w:top w:w="0" w:type="dxa"/>
              <w:left w:w="108" w:type="dxa"/>
              <w:bottom w:w="0" w:type="dxa"/>
              <w:right w:w="108" w:type="dxa"/>
            </w:tcMar>
            <w:vAlign w:val="center"/>
            <w:hideMark/>
          </w:tcPr>
          <w:p w:rsidR="003B474A" w:rsidRPr="009568CB" w:rsidRDefault="003B474A" w:rsidP="008C6791">
            <w:pPr>
              <w:jc w:val="center"/>
              <w:rPr>
                <w:rFonts w:ascii="Arial" w:eastAsiaTheme="minorHAnsi" w:hAnsi="Arial" w:cs="Arial"/>
                <w:b/>
                <w:bCs/>
                <w:sz w:val="40"/>
                <w:szCs w:val="40"/>
              </w:rPr>
            </w:pPr>
            <w:r w:rsidRPr="009568CB">
              <w:rPr>
                <w:rFonts w:ascii="Arial" w:hAnsi="Arial" w:cs="Arial"/>
                <w:b/>
                <w:bCs/>
                <w:sz w:val="40"/>
                <w:szCs w:val="40"/>
                <w:vertAlign w:val="superscript"/>
              </w:rPr>
              <w:t>%</w:t>
            </w:r>
          </w:p>
        </w:tc>
        <w:tc>
          <w:tcPr>
            <w:tcW w:w="1067" w:type="dxa"/>
            <w:shd w:val="clear" w:color="auto" w:fill="BFBFBF"/>
            <w:vAlign w:val="center"/>
          </w:tcPr>
          <w:p w:rsidR="003B474A" w:rsidRPr="009568CB" w:rsidRDefault="007B4549" w:rsidP="008C6791">
            <w:pPr>
              <w:contextualSpacing/>
              <w:jc w:val="center"/>
              <w:rPr>
                <w:rFonts w:ascii="Arial" w:hAnsi="Arial" w:cs="Arial"/>
                <w:b/>
                <w:bCs/>
                <w:sz w:val="40"/>
                <w:szCs w:val="40"/>
                <w:vertAlign w:val="superscript"/>
              </w:rPr>
            </w:pPr>
            <w:r>
              <w:rPr>
                <w:rFonts w:ascii="Arial" w:hAnsi="Arial" w:cs="Arial"/>
                <w:b/>
                <w:bCs/>
                <w:sz w:val="40"/>
                <w:szCs w:val="40"/>
                <w:vertAlign w:val="superscript"/>
              </w:rPr>
              <w:t>___</w:t>
            </w:r>
          </w:p>
        </w:tc>
        <w:tc>
          <w:tcPr>
            <w:tcW w:w="1160" w:type="dxa"/>
            <w:shd w:val="clear" w:color="auto" w:fill="BFBFBF"/>
            <w:vAlign w:val="center"/>
          </w:tcPr>
          <w:p w:rsidR="003B474A" w:rsidRPr="009568CB" w:rsidRDefault="003B474A" w:rsidP="008C6791">
            <w:pPr>
              <w:jc w:val="center"/>
              <w:rPr>
                <w:rFonts w:ascii="Arial" w:hAnsi="Arial" w:cs="Arial"/>
                <w:b/>
                <w:bCs/>
                <w:sz w:val="40"/>
                <w:szCs w:val="40"/>
                <w:vertAlign w:val="superscript"/>
              </w:rPr>
            </w:pPr>
            <w:r>
              <w:rPr>
                <w:rFonts w:ascii="Arial" w:hAnsi="Arial" w:cs="Arial"/>
                <w:b/>
                <w:bCs/>
                <w:sz w:val="40"/>
                <w:szCs w:val="40"/>
                <w:vertAlign w:val="superscript"/>
              </w:rPr>
              <w:t>%</w:t>
            </w:r>
          </w:p>
        </w:tc>
        <w:tc>
          <w:tcPr>
            <w:tcW w:w="1155" w:type="dxa"/>
            <w:shd w:val="clear" w:color="auto" w:fill="BFBFBF"/>
            <w:vAlign w:val="center"/>
          </w:tcPr>
          <w:p w:rsidR="003B474A" w:rsidRPr="002455F4" w:rsidRDefault="007B4549" w:rsidP="008C6791">
            <w:pPr>
              <w:jc w:val="center"/>
              <w:rPr>
                <w:rFonts w:ascii="Arial" w:hAnsi="Arial" w:cs="Arial"/>
                <w:b/>
                <w:bCs/>
                <w:sz w:val="40"/>
                <w:szCs w:val="40"/>
                <w:highlight w:val="yellow"/>
                <w:vertAlign w:val="superscript"/>
              </w:rPr>
            </w:pPr>
            <w:r>
              <w:rPr>
                <w:rFonts w:ascii="Arial" w:hAnsi="Arial" w:cs="Arial"/>
                <w:b/>
                <w:bCs/>
                <w:sz w:val="40"/>
                <w:szCs w:val="40"/>
                <w:vertAlign w:val="superscript"/>
              </w:rPr>
              <w:t>__</w:t>
            </w:r>
          </w:p>
        </w:tc>
        <w:tc>
          <w:tcPr>
            <w:tcW w:w="898" w:type="dxa"/>
            <w:shd w:val="clear" w:color="auto" w:fill="BFBFBF"/>
            <w:vAlign w:val="center"/>
          </w:tcPr>
          <w:p w:rsidR="003B474A" w:rsidRPr="002455F4" w:rsidRDefault="003B474A" w:rsidP="008C6791">
            <w:pPr>
              <w:jc w:val="center"/>
              <w:rPr>
                <w:rFonts w:ascii="Arial" w:hAnsi="Arial" w:cs="Arial"/>
                <w:b/>
                <w:bCs/>
                <w:sz w:val="40"/>
                <w:szCs w:val="40"/>
                <w:highlight w:val="yellow"/>
                <w:vertAlign w:val="superscript"/>
              </w:rPr>
            </w:pPr>
            <w:r w:rsidRPr="00F442FB">
              <w:rPr>
                <w:rFonts w:ascii="Arial" w:hAnsi="Arial" w:cs="Arial"/>
                <w:b/>
                <w:bCs/>
                <w:sz w:val="40"/>
                <w:szCs w:val="40"/>
                <w:vertAlign w:val="superscript"/>
              </w:rPr>
              <w:t>%</w:t>
            </w:r>
          </w:p>
        </w:tc>
        <w:tc>
          <w:tcPr>
            <w:tcW w:w="1079" w:type="dxa"/>
            <w:shd w:val="clear" w:color="auto" w:fill="BFBFBF"/>
            <w:vAlign w:val="center"/>
          </w:tcPr>
          <w:p w:rsidR="003B474A" w:rsidRPr="004D6FC8" w:rsidRDefault="007B4549" w:rsidP="008C6791">
            <w:pPr>
              <w:jc w:val="center"/>
              <w:rPr>
                <w:rFonts w:ascii="Arial" w:hAnsi="Arial" w:cs="Arial"/>
                <w:b/>
                <w:bCs/>
                <w:sz w:val="40"/>
                <w:szCs w:val="40"/>
                <w:vertAlign w:val="superscript"/>
              </w:rPr>
            </w:pPr>
            <w:r>
              <w:rPr>
                <w:rFonts w:ascii="Arial" w:hAnsi="Arial" w:cs="Arial"/>
                <w:b/>
                <w:bCs/>
                <w:sz w:val="40"/>
                <w:szCs w:val="40"/>
                <w:vertAlign w:val="superscript"/>
              </w:rPr>
              <w:t>___</w:t>
            </w:r>
          </w:p>
        </w:tc>
        <w:tc>
          <w:tcPr>
            <w:tcW w:w="1248" w:type="dxa"/>
            <w:shd w:val="clear" w:color="auto" w:fill="BFBFBF"/>
            <w:vAlign w:val="center"/>
          </w:tcPr>
          <w:p w:rsidR="003B474A" w:rsidRDefault="009141F6" w:rsidP="008C6791">
            <w:pPr>
              <w:jc w:val="center"/>
              <w:rPr>
                <w:rFonts w:ascii="Arial" w:eastAsiaTheme="minorHAnsi" w:hAnsi="Arial" w:cs="Arial"/>
                <w:b/>
                <w:bCs/>
                <w:color w:val="000000"/>
                <w:sz w:val="22"/>
                <w:szCs w:val="22"/>
              </w:rPr>
            </w:pPr>
            <w:r>
              <w:rPr>
                <w:rFonts w:ascii="Arial" w:hAnsi="Arial" w:cs="Arial"/>
                <w:b/>
                <w:bCs/>
                <w:color w:val="000000"/>
                <w:sz w:val="40"/>
                <w:szCs w:val="40"/>
                <w:vertAlign w:val="superscript"/>
              </w:rPr>
              <w:t>%</w:t>
            </w:r>
          </w:p>
        </w:tc>
      </w:tr>
      <w:tr w:rsidR="007B4549" w:rsidTr="003F704C">
        <w:trPr>
          <w:cantSplit/>
          <w:trHeight w:val="1637"/>
        </w:trPr>
        <w:tc>
          <w:tcPr>
            <w:tcW w:w="2166" w:type="dxa"/>
            <w:shd w:val="clear" w:color="auto" w:fill="BFBFBF"/>
            <w:tcMar>
              <w:top w:w="0" w:type="dxa"/>
              <w:left w:w="108" w:type="dxa"/>
              <w:bottom w:w="0" w:type="dxa"/>
              <w:right w:w="108" w:type="dxa"/>
            </w:tcMar>
            <w:vAlign w:val="center"/>
          </w:tcPr>
          <w:p w:rsidR="007B4549" w:rsidRPr="00DD7DE2" w:rsidRDefault="00AD6889" w:rsidP="008C6791">
            <w:pPr>
              <w:jc w:val="center"/>
              <w:rPr>
                <w:rFonts w:ascii="Arial" w:eastAsiaTheme="minorHAnsi" w:hAnsi="Arial" w:cs="Arial"/>
                <w:b/>
                <w:color w:val="000000"/>
                <w:sz w:val="28"/>
                <w:szCs w:val="28"/>
              </w:rPr>
            </w:pPr>
            <w:r w:rsidRPr="00DD7DE2">
              <w:rPr>
                <w:rFonts w:ascii="Arial" w:eastAsiaTheme="minorHAnsi" w:hAnsi="Arial" w:cs="Arial"/>
                <w:b/>
                <w:color w:val="000000"/>
                <w:sz w:val="28"/>
                <w:szCs w:val="28"/>
              </w:rPr>
              <w:t>30</w:t>
            </w:r>
          </w:p>
        </w:tc>
        <w:tc>
          <w:tcPr>
            <w:tcW w:w="1537" w:type="dxa"/>
            <w:shd w:val="clear" w:color="auto" w:fill="BFBFBF"/>
            <w:tcMar>
              <w:top w:w="0" w:type="dxa"/>
              <w:left w:w="108" w:type="dxa"/>
              <w:bottom w:w="0" w:type="dxa"/>
              <w:right w:w="108" w:type="dxa"/>
            </w:tcMar>
            <w:vAlign w:val="center"/>
          </w:tcPr>
          <w:p w:rsidR="00AD6889" w:rsidRPr="00FB39E9" w:rsidRDefault="00AD6889" w:rsidP="00AD6889">
            <w:pPr>
              <w:rPr>
                <w:rFonts w:ascii="Calibri" w:hAnsi="Calibri" w:cs="Calibri"/>
              </w:rPr>
            </w:pPr>
            <w:r w:rsidRPr="00FB39E9">
              <w:rPr>
                <w:rFonts w:ascii="Calibri" w:hAnsi="Calibri" w:cs="Calibri"/>
              </w:rPr>
              <w:t xml:space="preserve">Unduplicated count from the transition goals of other District agencies’ Olmstead goals. </w:t>
            </w:r>
          </w:p>
          <w:p w:rsidR="007B4549" w:rsidRDefault="007B4549" w:rsidP="008C6791">
            <w:pPr>
              <w:jc w:val="center"/>
              <w:rPr>
                <w:rFonts w:ascii="Arial" w:eastAsiaTheme="minorHAnsi" w:hAnsi="Arial" w:cs="Arial"/>
                <w:color w:val="000000"/>
                <w:sz w:val="20"/>
                <w:szCs w:val="20"/>
              </w:rPr>
            </w:pPr>
          </w:p>
        </w:tc>
        <w:tc>
          <w:tcPr>
            <w:tcW w:w="1254" w:type="dxa"/>
            <w:shd w:val="clear" w:color="auto" w:fill="BFBFBF"/>
            <w:vAlign w:val="center"/>
          </w:tcPr>
          <w:p w:rsidR="007B4549" w:rsidRPr="008A2251" w:rsidRDefault="001B00DB" w:rsidP="008C6791">
            <w:pPr>
              <w:jc w:val="center"/>
              <w:rPr>
                <w:rFonts w:ascii="Arial" w:eastAsiaTheme="minorHAnsi" w:hAnsi="Arial" w:cs="Arial"/>
                <w:bCs/>
                <w:color w:val="000000"/>
                <w:sz w:val="40"/>
                <w:szCs w:val="40"/>
                <w:vertAlign w:val="superscript"/>
              </w:rPr>
            </w:pPr>
            <w:r w:rsidRPr="008A2251">
              <w:rPr>
                <w:rFonts w:ascii="Arial" w:eastAsiaTheme="minorHAnsi" w:hAnsi="Arial" w:cs="Arial"/>
                <w:bCs/>
                <w:color w:val="000000"/>
                <w:sz w:val="40"/>
                <w:szCs w:val="40"/>
                <w:vertAlign w:val="superscript"/>
              </w:rPr>
              <w:t>3</w:t>
            </w:r>
          </w:p>
        </w:tc>
        <w:tc>
          <w:tcPr>
            <w:tcW w:w="985" w:type="dxa"/>
            <w:shd w:val="clear" w:color="auto" w:fill="BFBFBF"/>
            <w:vAlign w:val="center"/>
          </w:tcPr>
          <w:p w:rsidR="007B4549" w:rsidRPr="008A2251" w:rsidRDefault="006F1147" w:rsidP="008C6791">
            <w:pPr>
              <w:jc w:val="center"/>
              <w:rPr>
                <w:rFonts w:ascii="Arial" w:eastAsiaTheme="minorHAnsi" w:hAnsi="Arial" w:cs="Arial"/>
                <w:bCs/>
                <w:color w:val="000000"/>
                <w:sz w:val="40"/>
                <w:szCs w:val="40"/>
                <w:vertAlign w:val="superscript"/>
              </w:rPr>
            </w:pPr>
            <w:r w:rsidRPr="008A2251">
              <w:rPr>
                <w:rFonts w:ascii="Arial" w:eastAsiaTheme="minorHAnsi" w:hAnsi="Arial" w:cs="Arial"/>
                <w:bCs/>
                <w:color w:val="000000"/>
                <w:sz w:val="40"/>
                <w:szCs w:val="40"/>
                <w:vertAlign w:val="superscript"/>
              </w:rPr>
              <w:t>10</w:t>
            </w:r>
          </w:p>
        </w:tc>
        <w:tc>
          <w:tcPr>
            <w:tcW w:w="1423" w:type="dxa"/>
            <w:shd w:val="clear" w:color="auto" w:fill="BFBFBF"/>
            <w:tcMar>
              <w:top w:w="0" w:type="dxa"/>
              <w:left w:w="108" w:type="dxa"/>
              <w:bottom w:w="0" w:type="dxa"/>
              <w:right w:w="108" w:type="dxa"/>
            </w:tcMar>
            <w:vAlign w:val="center"/>
          </w:tcPr>
          <w:p w:rsidR="007B4549" w:rsidRDefault="007B4549" w:rsidP="008C6791">
            <w:pPr>
              <w:jc w:val="center"/>
              <w:rPr>
                <w:rFonts w:ascii="Arial" w:eastAsiaTheme="minorHAnsi" w:hAnsi="Arial" w:cs="Arial"/>
                <w:b/>
                <w:bCs/>
                <w:color w:val="000000"/>
                <w:sz w:val="40"/>
                <w:szCs w:val="40"/>
                <w:vertAlign w:val="superscript"/>
              </w:rPr>
            </w:pPr>
          </w:p>
        </w:tc>
        <w:tc>
          <w:tcPr>
            <w:tcW w:w="1166" w:type="dxa"/>
            <w:shd w:val="clear" w:color="auto" w:fill="BFBFBF"/>
            <w:tcMar>
              <w:top w:w="0" w:type="dxa"/>
              <w:left w:w="108" w:type="dxa"/>
              <w:bottom w:w="0" w:type="dxa"/>
              <w:right w:w="108" w:type="dxa"/>
            </w:tcMar>
            <w:vAlign w:val="center"/>
          </w:tcPr>
          <w:p w:rsidR="007B4549" w:rsidRPr="009568CB" w:rsidRDefault="007B4549" w:rsidP="008C6791">
            <w:pPr>
              <w:jc w:val="center"/>
              <w:rPr>
                <w:rFonts w:ascii="Arial" w:eastAsiaTheme="minorHAnsi" w:hAnsi="Arial" w:cs="Arial"/>
                <w:b/>
                <w:bCs/>
                <w:sz w:val="40"/>
                <w:szCs w:val="40"/>
              </w:rPr>
            </w:pPr>
          </w:p>
        </w:tc>
        <w:tc>
          <w:tcPr>
            <w:tcW w:w="1067" w:type="dxa"/>
            <w:shd w:val="clear" w:color="auto" w:fill="BFBFBF"/>
            <w:vAlign w:val="center"/>
          </w:tcPr>
          <w:p w:rsidR="007B4549" w:rsidRPr="009568CB" w:rsidRDefault="007B4549" w:rsidP="008C6791">
            <w:pPr>
              <w:jc w:val="center"/>
              <w:rPr>
                <w:rFonts w:ascii="Arial" w:hAnsi="Arial" w:cs="Arial"/>
                <w:b/>
                <w:bCs/>
                <w:sz w:val="40"/>
                <w:szCs w:val="40"/>
                <w:vertAlign w:val="superscript"/>
              </w:rPr>
            </w:pPr>
          </w:p>
        </w:tc>
        <w:tc>
          <w:tcPr>
            <w:tcW w:w="1160" w:type="dxa"/>
            <w:shd w:val="clear" w:color="auto" w:fill="BFBFBF"/>
            <w:vAlign w:val="center"/>
          </w:tcPr>
          <w:p w:rsidR="007B4549" w:rsidRPr="009568CB" w:rsidRDefault="007B4549" w:rsidP="008C6791">
            <w:pPr>
              <w:jc w:val="center"/>
              <w:rPr>
                <w:rFonts w:ascii="Arial" w:hAnsi="Arial" w:cs="Arial"/>
                <w:b/>
                <w:bCs/>
                <w:sz w:val="40"/>
                <w:szCs w:val="40"/>
                <w:vertAlign w:val="superscript"/>
              </w:rPr>
            </w:pPr>
          </w:p>
        </w:tc>
        <w:tc>
          <w:tcPr>
            <w:tcW w:w="1155" w:type="dxa"/>
            <w:shd w:val="clear" w:color="auto" w:fill="BFBFBF"/>
            <w:vAlign w:val="center"/>
          </w:tcPr>
          <w:p w:rsidR="007B4549" w:rsidRDefault="007B4549" w:rsidP="008C6791">
            <w:pPr>
              <w:jc w:val="center"/>
              <w:rPr>
                <w:rFonts w:ascii="Arial" w:hAnsi="Arial" w:cs="Arial"/>
                <w:b/>
                <w:bCs/>
                <w:sz w:val="40"/>
                <w:szCs w:val="40"/>
                <w:vertAlign w:val="superscript"/>
              </w:rPr>
            </w:pPr>
          </w:p>
        </w:tc>
        <w:tc>
          <w:tcPr>
            <w:tcW w:w="898" w:type="dxa"/>
            <w:shd w:val="clear" w:color="auto" w:fill="BFBFBF"/>
            <w:vAlign w:val="center"/>
          </w:tcPr>
          <w:p w:rsidR="007B4549" w:rsidRDefault="007B4549" w:rsidP="008C6791">
            <w:pPr>
              <w:jc w:val="center"/>
              <w:rPr>
                <w:rFonts w:ascii="Arial" w:hAnsi="Arial" w:cs="Arial"/>
                <w:b/>
                <w:bCs/>
                <w:sz w:val="40"/>
                <w:szCs w:val="40"/>
                <w:vertAlign w:val="superscript"/>
              </w:rPr>
            </w:pPr>
          </w:p>
        </w:tc>
        <w:tc>
          <w:tcPr>
            <w:tcW w:w="1079" w:type="dxa"/>
            <w:shd w:val="clear" w:color="auto" w:fill="BFBFBF"/>
            <w:vAlign w:val="center"/>
          </w:tcPr>
          <w:p w:rsidR="007B4549" w:rsidRPr="009568CB" w:rsidRDefault="007B4549" w:rsidP="008C6791">
            <w:pPr>
              <w:jc w:val="center"/>
              <w:rPr>
                <w:rFonts w:ascii="Arial" w:eastAsiaTheme="minorHAnsi" w:hAnsi="Arial" w:cs="Arial"/>
                <w:b/>
                <w:bCs/>
                <w:sz w:val="40"/>
                <w:szCs w:val="40"/>
                <w:vertAlign w:val="superscript"/>
              </w:rPr>
            </w:pPr>
          </w:p>
        </w:tc>
        <w:tc>
          <w:tcPr>
            <w:tcW w:w="1248" w:type="dxa"/>
            <w:shd w:val="clear" w:color="auto" w:fill="BFBFBF"/>
            <w:vAlign w:val="center"/>
          </w:tcPr>
          <w:p w:rsidR="007B4549" w:rsidRPr="004B135B" w:rsidRDefault="007B4549" w:rsidP="008C6791">
            <w:pPr>
              <w:jc w:val="center"/>
              <w:rPr>
                <w:rFonts w:ascii="Arial" w:eastAsiaTheme="minorHAnsi" w:hAnsi="Arial" w:cs="Arial"/>
                <w:b/>
                <w:color w:val="000000"/>
                <w:sz w:val="22"/>
                <w:szCs w:val="22"/>
              </w:rPr>
            </w:pPr>
          </w:p>
        </w:tc>
      </w:tr>
    </w:tbl>
    <w:tbl>
      <w:tblPr>
        <w:tblStyle w:val="TableGrid"/>
        <w:tblpPr w:leftFromText="180" w:rightFromText="180" w:horzAnchor="margin" w:tblpY="540"/>
        <w:tblW w:w="0" w:type="auto"/>
        <w:tblLook w:val="04A0" w:firstRow="1" w:lastRow="0" w:firstColumn="1" w:lastColumn="0" w:noHBand="0" w:noVBand="1"/>
      </w:tblPr>
      <w:tblGrid>
        <w:gridCol w:w="3510"/>
        <w:gridCol w:w="8460"/>
      </w:tblGrid>
      <w:tr w:rsidR="00036E51" w:rsidRPr="00E250B9" w:rsidTr="00F96AEB">
        <w:trPr>
          <w:trHeight w:val="8630"/>
        </w:trPr>
        <w:tc>
          <w:tcPr>
            <w:tcW w:w="3510" w:type="dxa"/>
            <w:shd w:val="clear" w:color="auto" w:fill="auto"/>
          </w:tcPr>
          <w:p w:rsidR="00036E51" w:rsidRDefault="007B4549" w:rsidP="00F96AEB">
            <w:pPr>
              <w:rPr>
                <w:rFonts w:ascii="Arial" w:eastAsiaTheme="minorHAnsi" w:hAnsi="Arial" w:cs="Arial"/>
                <w:b/>
                <w:color w:val="000000"/>
                <w:u w:val="single"/>
              </w:rPr>
            </w:pPr>
            <w:r>
              <w:rPr>
                <w:rFonts w:ascii="Arial" w:eastAsiaTheme="minorHAnsi" w:hAnsi="Arial" w:cs="Arial"/>
                <w:b/>
                <w:color w:val="000000"/>
                <w:u w:val="single"/>
              </w:rPr>
              <w:lastRenderedPageBreak/>
              <w:t>Quantitative Goal Progress</w:t>
            </w:r>
          </w:p>
          <w:p w:rsidR="007B4549" w:rsidRDefault="007B4549" w:rsidP="00F96AEB">
            <w:pPr>
              <w:rPr>
                <w:rFonts w:ascii="Arial" w:eastAsiaTheme="minorHAnsi" w:hAnsi="Arial" w:cs="Arial"/>
                <w:b/>
                <w:color w:val="000000"/>
                <w:u w:val="single"/>
              </w:rPr>
            </w:pPr>
          </w:p>
          <w:p w:rsidR="007B4549" w:rsidRDefault="007B4549" w:rsidP="00F96AEB">
            <w:pPr>
              <w:rPr>
                <w:rFonts w:ascii="Arial" w:eastAsiaTheme="minorHAnsi" w:hAnsi="Arial" w:cs="Arial"/>
                <w:b/>
                <w:color w:val="000000"/>
                <w:u w:val="single"/>
              </w:rPr>
            </w:pPr>
          </w:p>
          <w:p w:rsidR="007B4549" w:rsidRDefault="007B4549" w:rsidP="00F96AEB">
            <w:pPr>
              <w:rPr>
                <w:rFonts w:ascii="Arial" w:eastAsiaTheme="minorHAnsi" w:hAnsi="Arial" w:cs="Arial"/>
                <w:b/>
                <w:color w:val="000000"/>
                <w:u w:val="single"/>
              </w:rPr>
            </w:pPr>
          </w:p>
          <w:p w:rsidR="007B4549" w:rsidRDefault="007B4549" w:rsidP="00F96AEB">
            <w:pPr>
              <w:rPr>
                <w:rFonts w:ascii="Arial" w:eastAsiaTheme="minorHAnsi" w:hAnsi="Arial" w:cs="Arial"/>
                <w:b/>
                <w:color w:val="000000"/>
                <w:u w:val="single"/>
              </w:rPr>
            </w:pPr>
          </w:p>
          <w:p w:rsidR="00BE2D27" w:rsidRDefault="00BE2D27" w:rsidP="00F96AEB">
            <w:pPr>
              <w:rPr>
                <w:rFonts w:ascii="Arial" w:eastAsiaTheme="minorHAnsi" w:hAnsi="Arial" w:cs="Arial"/>
                <w:b/>
                <w:color w:val="000000"/>
                <w:u w:val="single"/>
              </w:rPr>
            </w:pPr>
          </w:p>
          <w:p w:rsidR="00BE2D27" w:rsidRDefault="00BE2D27" w:rsidP="00F96AEB">
            <w:pPr>
              <w:rPr>
                <w:rFonts w:ascii="Arial" w:eastAsiaTheme="minorHAnsi" w:hAnsi="Arial" w:cs="Arial"/>
                <w:b/>
                <w:color w:val="000000"/>
                <w:u w:val="single"/>
              </w:rPr>
            </w:pPr>
          </w:p>
          <w:p w:rsidR="00BE2D27" w:rsidRDefault="00BE2D27" w:rsidP="00F96AEB">
            <w:pPr>
              <w:rPr>
                <w:rFonts w:ascii="Arial" w:eastAsiaTheme="minorHAnsi" w:hAnsi="Arial" w:cs="Arial"/>
                <w:b/>
                <w:color w:val="000000"/>
                <w:u w:val="single"/>
              </w:rPr>
            </w:pPr>
          </w:p>
          <w:p w:rsidR="00BE2D27" w:rsidRDefault="00BE2D27" w:rsidP="00F96AEB">
            <w:pPr>
              <w:rPr>
                <w:rFonts w:ascii="Arial" w:eastAsiaTheme="minorHAnsi" w:hAnsi="Arial" w:cs="Arial"/>
                <w:b/>
                <w:color w:val="000000"/>
                <w:u w:val="single"/>
              </w:rPr>
            </w:pPr>
          </w:p>
          <w:p w:rsidR="00036E51" w:rsidRPr="00E250B9" w:rsidRDefault="00036E51" w:rsidP="00F96AEB">
            <w:pPr>
              <w:rPr>
                <w:rFonts w:ascii="Arial" w:eastAsiaTheme="minorHAnsi" w:hAnsi="Arial" w:cs="Arial"/>
                <w:color w:val="000000"/>
              </w:rPr>
            </w:pPr>
            <w:r w:rsidRPr="00E250B9">
              <w:rPr>
                <w:rFonts w:ascii="Arial" w:eastAsiaTheme="minorHAnsi" w:hAnsi="Arial" w:cs="Arial"/>
                <w:b/>
                <w:color w:val="000000"/>
                <w:u w:val="single"/>
              </w:rPr>
              <w:t>Qualitative Goal Progress</w:t>
            </w:r>
            <w:r w:rsidRPr="00E250B9">
              <w:rPr>
                <w:rFonts w:ascii="Arial" w:eastAsiaTheme="minorHAnsi" w:hAnsi="Arial" w:cs="Arial"/>
                <w:b/>
                <w:color w:val="000000"/>
                <w:u w:val="single"/>
              </w:rPr>
              <w:br/>
            </w:r>
          </w:p>
          <w:p w:rsidR="00036E51" w:rsidRPr="00E250B9" w:rsidRDefault="00036E51" w:rsidP="00F96AEB">
            <w:pPr>
              <w:rPr>
                <w:rFonts w:ascii="Arial" w:eastAsiaTheme="minorHAnsi" w:hAnsi="Arial" w:cs="Arial"/>
                <w:color w:val="000000"/>
              </w:rPr>
            </w:pPr>
          </w:p>
        </w:tc>
        <w:tc>
          <w:tcPr>
            <w:tcW w:w="8460" w:type="dxa"/>
            <w:shd w:val="clear" w:color="auto" w:fill="auto"/>
          </w:tcPr>
          <w:p w:rsidR="00BE2D27" w:rsidRDefault="00BE2D27" w:rsidP="00BE2D27">
            <w:pPr>
              <w:rPr>
                <w:rFonts w:ascii="Arial" w:eastAsia="Calibri" w:hAnsi="Arial" w:cs="Arial"/>
                <w:b/>
                <w:color w:val="000000"/>
              </w:rPr>
            </w:pPr>
            <w:r>
              <w:rPr>
                <w:rFonts w:ascii="Arial" w:eastAsia="Calibri" w:hAnsi="Arial" w:cs="Arial"/>
                <w:b/>
                <w:color w:val="000000"/>
              </w:rPr>
              <w:t>Narrative here explains number above and also details barriers faced or programmatic shifts within the agency or DC gov that affect numerical transitions either positively or negatively.</w:t>
            </w:r>
          </w:p>
          <w:p w:rsidR="00BE2D27" w:rsidRPr="00BE2D27" w:rsidRDefault="00BE2D27" w:rsidP="00730650">
            <w:pPr>
              <w:rPr>
                <w:rFonts w:asciiTheme="minorHAnsi" w:hAnsiTheme="minorHAnsi"/>
              </w:rPr>
            </w:pPr>
            <w:r w:rsidRPr="00BE2D27">
              <w:rPr>
                <w:rFonts w:asciiTheme="minorHAnsi" w:hAnsiTheme="minorHAnsi"/>
              </w:rPr>
              <w:t xml:space="preserve">Three (3) unique enrollments in Personal Care Aide Services under the Medicaid State Plan </w:t>
            </w:r>
            <w:r w:rsidR="00CA5846">
              <w:rPr>
                <w:rFonts w:asciiTheme="minorHAnsi" w:hAnsiTheme="minorHAnsi"/>
              </w:rPr>
              <w:t>and/</w:t>
            </w:r>
            <w:r w:rsidRPr="00BE2D27">
              <w:rPr>
                <w:rFonts w:asciiTheme="minorHAnsi" w:hAnsiTheme="minorHAnsi"/>
              </w:rPr>
              <w:t xml:space="preserve">or Elderly and persons with Physical Disabilities Home and Community-Based Services Waiver Program within 60 days of discharge for those Medicaid beneficiaries who were discharged from a nursing facility, January through March, 2016, after a 90+ day stay. </w:t>
            </w:r>
          </w:p>
          <w:p w:rsidR="00BE2D27" w:rsidRDefault="00BE2D27" w:rsidP="00730650">
            <w:pPr>
              <w:rPr>
                <w:rFonts w:ascii="Arial" w:eastAsia="Calibri" w:hAnsi="Arial" w:cs="Arial"/>
                <w:b/>
                <w:color w:val="000000"/>
              </w:rPr>
            </w:pPr>
          </w:p>
          <w:p w:rsidR="007B4549" w:rsidRDefault="007B4549" w:rsidP="00730650">
            <w:pPr>
              <w:rPr>
                <w:rFonts w:ascii="Arial" w:eastAsia="Calibri" w:hAnsi="Arial" w:cs="Arial"/>
                <w:b/>
                <w:color w:val="000000"/>
              </w:rPr>
            </w:pPr>
            <w:r>
              <w:rPr>
                <w:rFonts w:ascii="Arial" w:eastAsia="Calibri" w:hAnsi="Arial" w:cs="Arial"/>
                <w:b/>
                <w:color w:val="000000"/>
              </w:rPr>
              <w:t>Narrative here provides descriptions of agency programs, initiatives, and services designed to foster community integration.  Agencies should organize narrative un</w:t>
            </w:r>
            <w:r w:rsidR="00FF1991">
              <w:rPr>
                <w:rFonts w:ascii="Arial" w:eastAsia="Calibri" w:hAnsi="Arial" w:cs="Arial"/>
                <w:b/>
                <w:color w:val="000000"/>
              </w:rPr>
              <w:t>d</w:t>
            </w:r>
            <w:r>
              <w:rPr>
                <w:rFonts w:ascii="Arial" w:eastAsia="Calibri" w:hAnsi="Arial" w:cs="Arial"/>
                <w:b/>
                <w:color w:val="000000"/>
              </w:rPr>
              <w:t>er the following headings with the 9 priorities of the 2016 Plan in mind.</w:t>
            </w:r>
          </w:p>
          <w:p w:rsidR="007B4549" w:rsidRDefault="007B4549" w:rsidP="00730650">
            <w:pPr>
              <w:rPr>
                <w:rFonts w:ascii="Arial" w:eastAsia="Calibri" w:hAnsi="Arial" w:cs="Arial"/>
                <w:b/>
                <w:color w:val="000000"/>
              </w:rPr>
            </w:pPr>
          </w:p>
          <w:p w:rsidR="00BF7928" w:rsidRDefault="009D2D21" w:rsidP="005E250C">
            <w:pPr>
              <w:rPr>
                <w:rFonts w:ascii="Arial" w:hAnsi="Arial" w:cs="Arial"/>
                <w:b/>
              </w:rPr>
            </w:pPr>
            <w:r w:rsidRPr="008D6A39">
              <w:rPr>
                <w:rFonts w:ascii="Arial" w:hAnsi="Arial" w:cs="Arial"/>
                <w:b/>
              </w:rPr>
              <w:t>Quality of Institutional and Community-Based Providers</w:t>
            </w:r>
          </w:p>
          <w:p w:rsidR="00DB3EC4" w:rsidRPr="008D6A39" w:rsidRDefault="00DB3EC4" w:rsidP="005E250C">
            <w:pPr>
              <w:rPr>
                <w:rFonts w:ascii="Arial" w:hAnsi="Arial" w:cs="Arial"/>
                <w:b/>
              </w:rPr>
            </w:pPr>
          </w:p>
          <w:p w:rsidR="00226ECC" w:rsidRPr="00CC20D4" w:rsidRDefault="00226ECC" w:rsidP="00695DA6">
            <w:pPr>
              <w:numPr>
                <w:ilvl w:val="0"/>
                <w:numId w:val="6"/>
              </w:numPr>
              <w:contextualSpacing/>
              <w:rPr>
                <w:rFonts w:ascii="Calibri" w:hAnsi="Calibri"/>
              </w:rPr>
            </w:pPr>
            <w:r w:rsidRPr="00CC20D4">
              <w:rPr>
                <w:rFonts w:ascii="Calibri" w:hAnsi="Calibri"/>
              </w:rPr>
              <w:t>Assess and reduce duplication of services offered by Medicaid and DCOA (DHCF and DCOA by September 2016).</w:t>
            </w:r>
          </w:p>
          <w:p w:rsidR="00C809EE" w:rsidRPr="00DE65F3" w:rsidRDefault="00DE65F3" w:rsidP="00C809EE">
            <w:pPr>
              <w:pStyle w:val="CommentText"/>
              <w:rPr>
                <w:rFonts w:asciiTheme="minorHAnsi" w:hAnsiTheme="minorHAnsi"/>
                <w:sz w:val="24"/>
                <w:szCs w:val="24"/>
              </w:rPr>
            </w:pPr>
            <w:r w:rsidRPr="00DE65F3">
              <w:rPr>
                <w:rFonts w:asciiTheme="minorHAnsi" w:hAnsiTheme="minorHAnsi"/>
                <w:sz w:val="24"/>
                <w:szCs w:val="24"/>
              </w:rPr>
              <w:t>DHCF and DCOA (in collaboration with ESA) have been engaged in a 6 month effort to analyze and re-engineer the workflow for individuals seeking and retaining long term care services.  This workflow analysis has allowed the agencies to identify duplicative or inefficient processes and streamline access to LTC services.</w:t>
            </w:r>
            <w:r w:rsidR="00C809EE">
              <w:rPr>
                <w:rFonts w:asciiTheme="minorHAnsi" w:hAnsiTheme="minorHAnsi"/>
                <w:sz w:val="24"/>
                <w:szCs w:val="24"/>
              </w:rPr>
              <w:t xml:space="preserve"> </w:t>
            </w:r>
            <w:r w:rsidR="00C809EE">
              <w:rPr>
                <w:rFonts w:asciiTheme="minorHAnsi" w:hAnsiTheme="minorHAnsi"/>
                <w:sz w:val="24"/>
                <w:szCs w:val="24"/>
              </w:rPr>
              <w:t>DHCF and DCOA have also developed plans to maximize Medicaid reimbursement for services that are currently being funded with local dollars, spec</w:t>
            </w:r>
            <w:r w:rsidR="00756CEE">
              <w:rPr>
                <w:rFonts w:asciiTheme="minorHAnsi" w:hAnsiTheme="minorHAnsi"/>
                <w:sz w:val="24"/>
                <w:szCs w:val="24"/>
              </w:rPr>
              <w:t>ific</w:t>
            </w:r>
            <w:r w:rsidR="00C809EE">
              <w:rPr>
                <w:rFonts w:asciiTheme="minorHAnsi" w:hAnsiTheme="minorHAnsi"/>
                <w:sz w:val="24"/>
                <w:szCs w:val="24"/>
              </w:rPr>
              <w:t>ally, transpor</w:t>
            </w:r>
            <w:r w:rsidR="00C809EE">
              <w:rPr>
                <w:rFonts w:asciiTheme="minorHAnsi" w:hAnsiTheme="minorHAnsi"/>
                <w:sz w:val="24"/>
                <w:szCs w:val="24"/>
              </w:rPr>
              <w:t>t</w:t>
            </w:r>
            <w:r w:rsidR="00C809EE">
              <w:rPr>
                <w:rFonts w:asciiTheme="minorHAnsi" w:hAnsiTheme="minorHAnsi"/>
                <w:sz w:val="24"/>
                <w:szCs w:val="24"/>
              </w:rPr>
              <w:t>ation and case management services</w:t>
            </w:r>
            <w:r w:rsidR="00CC20D4">
              <w:rPr>
                <w:rFonts w:asciiTheme="minorHAnsi" w:hAnsiTheme="minorHAnsi"/>
                <w:sz w:val="24"/>
                <w:szCs w:val="24"/>
              </w:rPr>
              <w:t>.</w:t>
            </w:r>
            <w:r w:rsidR="00C809EE">
              <w:rPr>
                <w:rFonts w:asciiTheme="minorHAnsi" w:hAnsiTheme="minorHAnsi"/>
                <w:sz w:val="24"/>
                <w:szCs w:val="24"/>
              </w:rPr>
              <w:t xml:space="preserve"> </w:t>
            </w:r>
          </w:p>
          <w:p w:rsidR="00226ECC" w:rsidRPr="00FB39E9" w:rsidRDefault="00226ECC" w:rsidP="00226ECC">
            <w:pPr>
              <w:rPr>
                <w:rFonts w:ascii="Calibri" w:hAnsi="Calibri"/>
              </w:rPr>
            </w:pPr>
          </w:p>
          <w:p w:rsidR="00226ECC" w:rsidRPr="00CC20D4" w:rsidRDefault="00226ECC" w:rsidP="00695DA6">
            <w:pPr>
              <w:numPr>
                <w:ilvl w:val="0"/>
                <w:numId w:val="6"/>
              </w:numPr>
              <w:contextualSpacing/>
              <w:rPr>
                <w:rFonts w:ascii="Calibri" w:hAnsi="Calibri"/>
              </w:rPr>
            </w:pPr>
            <w:r w:rsidRPr="00CC20D4">
              <w:rPr>
                <w:rFonts w:ascii="Calibri" w:hAnsi="Calibri"/>
              </w:rPr>
              <w:t>Review and strengthen regulatory options to more effectively deal with quality issues when they arise (DHCF, DDS, DBH, DOH by December 2016).</w:t>
            </w:r>
          </w:p>
          <w:p w:rsidR="00C809EE" w:rsidRPr="00C809EE" w:rsidRDefault="00C809EE" w:rsidP="00C809EE">
            <w:pPr>
              <w:contextualSpacing/>
              <w:rPr>
                <w:rFonts w:ascii="Calibri" w:hAnsi="Calibri"/>
              </w:rPr>
            </w:pPr>
            <w:r w:rsidRPr="00C809EE">
              <w:rPr>
                <w:rFonts w:ascii="Calibri" w:hAnsi="Calibri"/>
              </w:rPr>
              <w:t xml:space="preserve">DHCF is updating its rules for EPD waiver providers, Home Health Agencies, </w:t>
            </w:r>
            <w:r w:rsidRPr="00C809EE">
              <w:rPr>
                <w:rFonts w:ascii="Calibri" w:hAnsi="Calibri"/>
              </w:rPr>
              <w:t>Adult Day Heal</w:t>
            </w:r>
            <w:r w:rsidRPr="00C809EE">
              <w:rPr>
                <w:rFonts w:ascii="Calibri" w:hAnsi="Calibri"/>
              </w:rPr>
              <w:t xml:space="preserve">th Providers and for Provider Screening and Enrollment.  DHCF has developed new protocols with DOH to foster greater collaboration and information sharing regarding personal care aides who are terminated for cause. </w:t>
            </w:r>
          </w:p>
          <w:p w:rsidR="00226ECC" w:rsidRPr="00FB39E9" w:rsidRDefault="00226ECC" w:rsidP="00226ECC">
            <w:pPr>
              <w:widowControl w:val="0"/>
              <w:autoSpaceDE w:val="0"/>
              <w:autoSpaceDN w:val="0"/>
              <w:adjustRightInd w:val="0"/>
              <w:rPr>
                <w:rFonts w:ascii="Calibri" w:hAnsi="Calibri"/>
              </w:rPr>
            </w:pPr>
          </w:p>
          <w:p w:rsidR="00226ECC" w:rsidRPr="00CC20D4" w:rsidRDefault="00226ECC" w:rsidP="00695DA6">
            <w:pPr>
              <w:widowControl w:val="0"/>
              <w:numPr>
                <w:ilvl w:val="0"/>
                <w:numId w:val="6"/>
              </w:numPr>
              <w:autoSpaceDE w:val="0"/>
              <w:autoSpaceDN w:val="0"/>
              <w:adjustRightInd w:val="0"/>
              <w:contextualSpacing/>
              <w:rPr>
                <w:rFonts w:ascii="Calibri" w:hAnsi="Calibri" w:cs="Arial"/>
              </w:rPr>
            </w:pPr>
            <w:r w:rsidRPr="00CC20D4">
              <w:rPr>
                <w:rFonts w:ascii="Calibri" w:hAnsi="Calibri"/>
              </w:rPr>
              <w:t xml:space="preserve">Review all providers’ Language Access plans to ensure residents with limited English proficiency have access to linguistically and culturally appropriate services (DHCF and DDS by December 2016). </w:t>
            </w:r>
          </w:p>
          <w:p w:rsidR="00870227" w:rsidRPr="00870227" w:rsidRDefault="00870227" w:rsidP="00870227">
            <w:pPr>
              <w:rPr>
                <w:rFonts w:asciiTheme="minorHAnsi" w:hAnsiTheme="minorHAnsi"/>
              </w:rPr>
            </w:pPr>
            <w:r w:rsidRPr="00870227">
              <w:rPr>
                <w:rFonts w:asciiTheme="minorHAnsi" w:hAnsiTheme="minorHAnsi"/>
              </w:rPr>
              <w:t xml:space="preserve">DHCF was recently classified as an agency with “major public contact”, and therefore included on the Office of Human Rights’ </w:t>
            </w:r>
            <w:r w:rsidR="00B83E79">
              <w:rPr>
                <w:rFonts w:asciiTheme="minorHAnsi" w:hAnsiTheme="minorHAnsi"/>
              </w:rPr>
              <w:t xml:space="preserve">(OHR) </w:t>
            </w:r>
            <w:r w:rsidRPr="00870227">
              <w:rPr>
                <w:rFonts w:asciiTheme="minorHAnsi" w:hAnsiTheme="minorHAnsi"/>
              </w:rPr>
              <w:t xml:space="preserve">efforts around maintaining and monitoring departmental language access plans, per the DC Language Access Act.  DHCF’s Medicaid Director has convened a workgroup of staff representing each division within DHCF to develop the Department’s Bi-Annual Language Access Plan, due to OHR October 2016.  The workgroup is meeting every two weeks, and is </w:t>
            </w:r>
            <w:r w:rsidRPr="00870227">
              <w:rPr>
                <w:rFonts w:asciiTheme="minorHAnsi" w:hAnsiTheme="minorHAnsi"/>
              </w:rPr>
              <w:lastRenderedPageBreak/>
              <w:t>working towards efforts including</w:t>
            </w:r>
          </w:p>
          <w:p w:rsidR="00870227" w:rsidRPr="00870227" w:rsidRDefault="00870227" w:rsidP="00870227">
            <w:pPr>
              <w:pStyle w:val="ListParagraph"/>
              <w:numPr>
                <w:ilvl w:val="0"/>
                <w:numId w:val="24"/>
              </w:numPr>
              <w:contextualSpacing w:val="0"/>
              <w:rPr>
                <w:rFonts w:asciiTheme="minorHAnsi" w:hAnsiTheme="minorHAnsi"/>
              </w:rPr>
            </w:pPr>
            <w:r w:rsidRPr="00870227">
              <w:rPr>
                <w:rFonts w:asciiTheme="minorHAnsi" w:hAnsiTheme="minorHAnsi"/>
              </w:rPr>
              <w:t>Submit/implement/monitor 2 year language access plan (next cycle—FY17/18)</w:t>
            </w:r>
          </w:p>
          <w:p w:rsidR="00870227" w:rsidRPr="00870227" w:rsidRDefault="00870227" w:rsidP="00870227">
            <w:pPr>
              <w:pStyle w:val="ListParagraph"/>
              <w:numPr>
                <w:ilvl w:val="0"/>
                <w:numId w:val="24"/>
              </w:numPr>
              <w:contextualSpacing w:val="0"/>
              <w:rPr>
                <w:rFonts w:asciiTheme="minorHAnsi" w:hAnsiTheme="minorHAnsi"/>
              </w:rPr>
            </w:pPr>
            <w:r w:rsidRPr="00870227">
              <w:rPr>
                <w:rFonts w:asciiTheme="minorHAnsi" w:hAnsiTheme="minorHAnsi"/>
              </w:rPr>
              <w:t xml:space="preserve">Designate a DHCF language access coordinator </w:t>
            </w:r>
          </w:p>
          <w:p w:rsidR="00870227" w:rsidRPr="00870227" w:rsidRDefault="00870227" w:rsidP="00870227">
            <w:pPr>
              <w:pStyle w:val="ListParagraph"/>
              <w:numPr>
                <w:ilvl w:val="0"/>
                <w:numId w:val="24"/>
              </w:numPr>
              <w:contextualSpacing w:val="0"/>
              <w:rPr>
                <w:rFonts w:asciiTheme="minorHAnsi" w:hAnsiTheme="minorHAnsi"/>
              </w:rPr>
            </w:pPr>
            <w:r w:rsidRPr="00870227">
              <w:rPr>
                <w:rFonts w:asciiTheme="minorHAnsi" w:hAnsiTheme="minorHAnsi"/>
              </w:rPr>
              <w:t>Documented community outreach re language access</w:t>
            </w:r>
          </w:p>
          <w:p w:rsidR="00870227" w:rsidRPr="00870227" w:rsidRDefault="00870227" w:rsidP="00870227">
            <w:pPr>
              <w:rPr>
                <w:rFonts w:asciiTheme="minorHAnsi" w:hAnsiTheme="minorHAnsi"/>
              </w:rPr>
            </w:pPr>
          </w:p>
          <w:p w:rsidR="00870227" w:rsidRPr="00870227" w:rsidRDefault="00870227" w:rsidP="00870227">
            <w:pPr>
              <w:rPr>
                <w:rFonts w:asciiTheme="minorHAnsi" w:hAnsiTheme="minorHAnsi"/>
              </w:rPr>
            </w:pPr>
            <w:r w:rsidRPr="00870227">
              <w:rPr>
                <w:rFonts w:asciiTheme="minorHAnsi" w:hAnsiTheme="minorHAnsi"/>
              </w:rPr>
              <w:t>As part of these efforts, DHCF is focusing on:</w:t>
            </w:r>
          </w:p>
          <w:p w:rsidR="00870227" w:rsidRPr="00870227" w:rsidRDefault="00870227" w:rsidP="00870227">
            <w:pPr>
              <w:pStyle w:val="ListParagraph"/>
              <w:numPr>
                <w:ilvl w:val="0"/>
                <w:numId w:val="25"/>
              </w:numPr>
              <w:contextualSpacing w:val="0"/>
              <w:rPr>
                <w:rFonts w:asciiTheme="minorHAnsi" w:hAnsiTheme="minorHAnsi"/>
              </w:rPr>
            </w:pPr>
            <w:r w:rsidRPr="00870227">
              <w:rPr>
                <w:rFonts w:asciiTheme="minorHAnsi" w:hAnsiTheme="minorHAnsi"/>
              </w:rPr>
              <w:t>Defining DHCF-specific threshold languages (&gt;3% of population or 500 ppl)</w:t>
            </w:r>
          </w:p>
          <w:p w:rsidR="00870227" w:rsidRPr="00870227" w:rsidRDefault="00870227" w:rsidP="00870227">
            <w:pPr>
              <w:pStyle w:val="ListParagraph"/>
              <w:numPr>
                <w:ilvl w:val="0"/>
                <w:numId w:val="25"/>
              </w:numPr>
              <w:contextualSpacing w:val="0"/>
              <w:rPr>
                <w:rFonts w:asciiTheme="minorHAnsi" w:hAnsiTheme="minorHAnsi"/>
              </w:rPr>
            </w:pPr>
            <w:r w:rsidRPr="00870227">
              <w:rPr>
                <w:rFonts w:asciiTheme="minorHAnsi" w:hAnsiTheme="minorHAnsi"/>
              </w:rPr>
              <w:t>Data collection</w:t>
            </w:r>
          </w:p>
          <w:p w:rsidR="00870227" w:rsidRPr="00870227" w:rsidRDefault="00870227" w:rsidP="00870227">
            <w:pPr>
              <w:pStyle w:val="ListParagraph"/>
              <w:numPr>
                <w:ilvl w:val="0"/>
                <w:numId w:val="25"/>
              </w:numPr>
              <w:contextualSpacing w:val="0"/>
              <w:rPr>
                <w:rFonts w:asciiTheme="minorHAnsi" w:hAnsiTheme="minorHAnsi"/>
              </w:rPr>
            </w:pPr>
            <w:r w:rsidRPr="00870227">
              <w:rPr>
                <w:rFonts w:asciiTheme="minorHAnsi" w:hAnsiTheme="minorHAnsi"/>
              </w:rPr>
              <w:t>Staff training</w:t>
            </w:r>
          </w:p>
          <w:p w:rsidR="00870227" w:rsidRPr="00870227" w:rsidRDefault="00870227" w:rsidP="00870227">
            <w:pPr>
              <w:pStyle w:val="ListParagraph"/>
              <w:numPr>
                <w:ilvl w:val="0"/>
                <w:numId w:val="25"/>
              </w:numPr>
              <w:contextualSpacing w:val="0"/>
              <w:rPr>
                <w:rFonts w:asciiTheme="minorHAnsi" w:hAnsiTheme="minorHAnsi"/>
              </w:rPr>
            </w:pPr>
            <w:r w:rsidRPr="00870227">
              <w:rPr>
                <w:rFonts w:asciiTheme="minorHAnsi" w:hAnsiTheme="minorHAnsi"/>
              </w:rPr>
              <w:t>Providing translation (DHCF must translate all “vitals documents” into the threshold languages)</w:t>
            </w:r>
          </w:p>
          <w:p w:rsidR="00870227" w:rsidRPr="00870227" w:rsidRDefault="00870227" w:rsidP="00870227">
            <w:pPr>
              <w:pStyle w:val="ListParagraph"/>
              <w:numPr>
                <w:ilvl w:val="0"/>
                <w:numId w:val="25"/>
              </w:numPr>
              <w:contextualSpacing w:val="0"/>
              <w:rPr>
                <w:rFonts w:asciiTheme="minorHAnsi" w:hAnsiTheme="minorHAnsi"/>
              </w:rPr>
            </w:pPr>
            <w:r w:rsidRPr="00870227">
              <w:rPr>
                <w:rFonts w:asciiTheme="minorHAnsi" w:hAnsiTheme="minorHAnsi"/>
              </w:rPr>
              <w:t>Providing interpretation</w:t>
            </w:r>
          </w:p>
          <w:p w:rsidR="00226ECC" w:rsidRPr="007B4549" w:rsidRDefault="00226ECC" w:rsidP="00226ECC">
            <w:pPr>
              <w:ind w:left="1440"/>
              <w:rPr>
                <w:rFonts w:ascii="Arial" w:hAnsi="Arial" w:cs="Arial"/>
              </w:rPr>
            </w:pPr>
          </w:p>
          <w:p w:rsidR="00BF7928" w:rsidRPr="00DB3EC4" w:rsidRDefault="009D2D21" w:rsidP="00044DD8">
            <w:pPr>
              <w:rPr>
                <w:rFonts w:ascii="Arial" w:hAnsi="Arial" w:cs="Arial"/>
                <w:b/>
              </w:rPr>
            </w:pPr>
            <w:r w:rsidRPr="00DB3EC4">
              <w:rPr>
                <w:rFonts w:ascii="Arial" w:hAnsi="Arial" w:cs="Arial"/>
                <w:b/>
              </w:rPr>
              <w:t>Housing</w:t>
            </w:r>
          </w:p>
          <w:p w:rsidR="00DB3EC4" w:rsidRDefault="00DB3EC4" w:rsidP="007D1DDC">
            <w:pPr>
              <w:widowControl w:val="0"/>
              <w:autoSpaceDE w:val="0"/>
              <w:autoSpaceDN w:val="0"/>
              <w:adjustRightInd w:val="0"/>
              <w:contextualSpacing/>
              <w:rPr>
                <w:rFonts w:ascii="Calibri" w:hAnsi="Calibri" w:cs="Arial"/>
              </w:rPr>
            </w:pPr>
          </w:p>
          <w:p w:rsidR="00011CB4" w:rsidRPr="00D3224A" w:rsidRDefault="00011CB4" w:rsidP="007D1DDC">
            <w:pPr>
              <w:widowControl w:val="0"/>
              <w:autoSpaceDE w:val="0"/>
              <w:autoSpaceDN w:val="0"/>
              <w:adjustRightInd w:val="0"/>
              <w:contextualSpacing/>
              <w:rPr>
                <w:rFonts w:ascii="Calibri" w:hAnsi="Calibri" w:cs="Arial"/>
              </w:rPr>
            </w:pPr>
            <w:r w:rsidRPr="00D3224A">
              <w:rPr>
                <w:rFonts w:ascii="Calibri" w:hAnsi="Calibri" w:cs="Arial"/>
              </w:rPr>
              <w:t xml:space="preserve">DHCF, in collaboration with DCOA’s ADRC held a lottery on February 29, 2016 for 14 available Housing Choice Vouchers to support the transition to community living for preliminarily MFP-eligible nursing facility residents. 14 residents were selected, as well as 109 alternates. </w:t>
            </w:r>
            <w:r w:rsidR="006D0CA4" w:rsidRPr="00D3224A">
              <w:rPr>
                <w:rFonts w:ascii="Calibri" w:hAnsi="Calibri" w:cs="Arial"/>
              </w:rPr>
              <w:t xml:space="preserve">DHCF updated and released the accompanying transmittal on conditions of selection (Transmittal 16-02) and FAQs on February 1, 2016. DHCF provided training for the ADRC Community Transition Team on the conditions in February 2016 ahead of the lottery.   </w:t>
            </w:r>
            <w:r w:rsidRPr="00D3224A">
              <w:rPr>
                <w:rFonts w:ascii="Calibri" w:hAnsi="Calibri" w:cs="Arial"/>
              </w:rPr>
              <w:t xml:space="preserve"> </w:t>
            </w:r>
          </w:p>
          <w:p w:rsidR="00044DD8" w:rsidRPr="00011CB4" w:rsidRDefault="00044DD8" w:rsidP="00044DD8">
            <w:pPr>
              <w:widowControl w:val="0"/>
              <w:autoSpaceDE w:val="0"/>
              <w:autoSpaceDN w:val="0"/>
              <w:adjustRightInd w:val="0"/>
              <w:contextualSpacing/>
              <w:rPr>
                <w:rFonts w:ascii="Calibri" w:hAnsi="Calibri" w:cs="Arial"/>
                <w:highlight w:val="yellow"/>
              </w:rPr>
            </w:pPr>
          </w:p>
          <w:p w:rsidR="00BF7928" w:rsidRPr="001805B8" w:rsidRDefault="009D2D21" w:rsidP="005E250C">
            <w:pPr>
              <w:rPr>
                <w:rFonts w:ascii="Arial" w:hAnsi="Arial" w:cs="Arial"/>
                <w:b/>
              </w:rPr>
            </w:pPr>
            <w:r w:rsidRPr="001805B8">
              <w:rPr>
                <w:rFonts w:ascii="Arial" w:hAnsi="Arial" w:cs="Arial"/>
                <w:b/>
              </w:rPr>
              <w:t>Waiver Management/Systems Issues</w:t>
            </w:r>
          </w:p>
          <w:p w:rsidR="00226ECC" w:rsidRPr="00FB39E9" w:rsidRDefault="00226ECC" w:rsidP="00226ECC">
            <w:pPr>
              <w:widowControl w:val="0"/>
              <w:autoSpaceDE w:val="0"/>
              <w:autoSpaceDN w:val="0"/>
              <w:adjustRightInd w:val="0"/>
              <w:rPr>
                <w:rFonts w:ascii="Calibri" w:hAnsi="Calibri" w:cs="Arial"/>
              </w:rPr>
            </w:pPr>
          </w:p>
          <w:p w:rsidR="00226ECC" w:rsidRPr="00D3224A" w:rsidRDefault="00226ECC" w:rsidP="00695DA6">
            <w:pPr>
              <w:widowControl w:val="0"/>
              <w:numPr>
                <w:ilvl w:val="0"/>
                <w:numId w:val="6"/>
              </w:numPr>
              <w:autoSpaceDE w:val="0"/>
              <w:autoSpaceDN w:val="0"/>
              <w:adjustRightInd w:val="0"/>
              <w:contextualSpacing/>
              <w:rPr>
                <w:rFonts w:ascii="Calibri" w:hAnsi="Calibri" w:cs="Arial"/>
              </w:rPr>
            </w:pPr>
            <w:r w:rsidRPr="00D3224A">
              <w:rPr>
                <w:rFonts w:ascii="Calibri" w:hAnsi="Calibri" w:cs="Arial"/>
              </w:rPr>
              <w:t xml:space="preserve">Develop training on how to access Medicaid Waiver services and troubleshooting for agency and provider staff involved in the EPD Waiver process (DHCF, ADRC, DOH by May 2016). </w:t>
            </w:r>
          </w:p>
          <w:p w:rsidR="00D3224A" w:rsidRPr="003D25F1" w:rsidRDefault="003D25F1" w:rsidP="00D3224A">
            <w:pPr>
              <w:widowControl w:val="0"/>
              <w:autoSpaceDE w:val="0"/>
              <w:autoSpaceDN w:val="0"/>
              <w:adjustRightInd w:val="0"/>
              <w:contextualSpacing/>
              <w:rPr>
                <w:rFonts w:ascii="Calibri" w:hAnsi="Calibri" w:cs="Arial"/>
              </w:rPr>
            </w:pPr>
            <w:r w:rsidRPr="003D25F1">
              <w:rPr>
                <w:rFonts w:ascii="Calibri" w:hAnsi="Calibri" w:cs="Arial"/>
              </w:rPr>
              <w:t>DHCF LTC Admin</w:t>
            </w:r>
            <w:r w:rsidR="007A2774">
              <w:rPr>
                <w:rFonts w:ascii="Calibri" w:hAnsi="Calibri" w:cs="Arial"/>
              </w:rPr>
              <w:t>i</w:t>
            </w:r>
            <w:r w:rsidRPr="003D25F1">
              <w:rPr>
                <w:rFonts w:ascii="Calibri" w:hAnsi="Calibri" w:cs="Arial"/>
              </w:rPr>
              <w:t>stration staff met twice during the period with represe</w:t>
            </w:r>
            <w:r w:rsidR="00701361">
              <w:rPr>
                <w:rFonts w:ascii="Calibri" w:hAnsi="Calibri" w:cs="Arial"/>
              </w:rPr>
              <w:t xml:space="preserve">ntatives of the LTC and Health Care Ombudsmen’s </w:t>
            </w:r>
            <w:r w:rsidRPr="003D25F1">
              <w:rPr>
                <w:rFonts w:ascii="Calibri" w:hAnsi="Calibri" w:cs="Arial"/>
              </w:rPr>
              <w:t>office</w:t>
            </w:r>
            <w:r w:rsidR="00701361">
              <w:rPr>
                <w:rFonts w:ascii="Calibri" w:hAnsi="Calibri" w:cs="Arial"/>
              </w:rPr>
              <w:t>s</w:t>
            </w:r>
            <w:r w:rsidR="00AA25BB">
              <w:rPr>
                <w:rFonts w:ascii="Calibri" w:hAnsi="Calibri" w:cs="Arial"/>
              </w:rPr>
              <w:t>, the Legal Counsel for the Elderly, and DCOA’s A</w:t>
            </w:r>
            <w:r w:rsidR="001805B8">
              <w:rPr>
                <w:rFonts w:ascii="Calibri" w:hAnsi="Calibri" w:cs="Arial"/>
              </w:rPr>
              <w:t xml:space="preserve">ging &amp; </w:t>
            </w:r>
            <w:r w:rsidR="00AA25BB">
              <w:rPr>
                <w:rFonts w:ascii="Calibri" w:hAnsi="Calibri" w:cs="Arial"/>
              </w:rPr>
              <w:t>D</w:t>
            </w:r>
            <w:r w:rsidR="001805B8">
              <w:rPr>
                <w:rFonts w:ascii="Calibri" w:hAnsi="Calibri" w:cs="Arial"/>
              </w:rPr>
              <w:t xml:space="preserve">isability </w:t>
            </w:r>
            <w:r w:rsidR="00AA25BB">
              <w:rPr>
                <w:rFonts w:ascii="Calibri" w:hAnsi="Calibri" w:cs="Arial"/>
              </w:rPr>
              <w:t>R</w:t>
            </w:r>
            <w:r w:rsidR="001805B8">
              <w:rPr>
                <w:rFonts w:ascii="Calibri" w:hAnsi="Calibri" w:cs="Arial"/>
              </w:rPr>
              <w:t xml:space="preserve">esource </w:t>
            </w:r>
            <w:r w:rsidR="00AA25BB">
              <w:rPr>
                <w:rFonts w:ascii="Calibri" w:hAnsi="Calibri" w:cs="Arial"/>
              </w:rPr>
              <w:t>C</w:t>
            </w:r>
            <w:r w:rsidR="001805B8">
              <w:rPr>
                <w:rFonts w:ascii="Calibri" w:hAnsi="Calibri" w:cs="Arial"/>
              </w:rPr>
              <w:t xml:space="preserve">enter to discuss </w:t>
            </w:r>
            <w:r w:rsidRPr="003D25F1">
              <w:rPr>
                <w:rFonts w:ascii="Calibri" w:hAnsi="Calibri" w:cs="Arial"/>
              </w:rPr>
              <w:t xml:space="preserve">access to services for existing beneficiaries and new enrollees, some of whom would be transitioning from nursing facilities and other LTC facilities to the community. </w:t>
            </w:r>
            <w:r w:rsidR="00AA25BB">
              <w:rPr>
                <w:rFonts w:ascii="Calibri" w:hAnsi="Calibri" w:cs="Arial"/>
              </w:rPr>
              <w:t>The discussion f</w:t>
            </w:r>
            <w:r w:rsidR="00976B1F">
              <w:rPr>
                <w:rFonts w:ascii="Calibri" w:hAnsi="Calibri" w:cs="Arial"/>
              </w:rPr>
              <w:t xml:space="preserve">ocused on defining services and </w:t>
            </w:r>
            <w:r w:rsidR="00AA25BB">
              <w:rPr>
                <w:rFonts w:ascii="Calibri" w:hAnsi="Calibri" w:cs="Arial"/>
              </w:rPr>
              <w:t>appropriate referrals</w:t>
            </w:r>
            <w:r w:rsidR="00976B1F">
              <w:rPr>
                <w:rFonts w:ascii="Calibri" w:hAnsi="Calibri" w:cs="Arial"/>
              </w:rPr>
              <w:t>,</w:t>
            </w:r>
            <w:r w:rsidR="00AA25BB">
              <w:rPr>
                <w:rFonts w:ascii="Calibri" w:hAnsi="Calibri" w:cs="Arial"/>
              </w:rPr>
              <w:t xml:space="preserve"> and </w:t>
            </w:r>
            <w:r w:rsidR="00976B1F">
              <w:rPr>
                <w:rFonts w:ascii="Calibri" w:hAnsi="Calibri" w:cs="Arial"/>
              </w:rPr>
              <w:t xml:space="preserve">identifying </w:t>
            </w:r>
            <w:r w:rsidR="00AA25BB">
              <w:rPr>
                <w:rFonts w:ascii="Calibri" w:hAnsi="Calibri" w:cs="Arial"/>
              </w:rPr>
              <w:t>contact points for each participating agency</w:t>
            </w:r>
            <w:r w:rsidR="00976B1F">
              <w:rPr>
                <w:rFonts w:ascii="Calibri" w:hAnsi="Calibri" w:cs="Arial"/>
              </w:rPr>
              <w:t xml:space="preserve"> and</w:t>
            </w:r>
            <w:r w:rsidR="00AA25BB">
              <w:rPr>
                <w:rFonts w:ascii="Calibri" w:hAnsi="Calibri" w:cs="Arial"/>
              </w:rPr>
              <w:t xml:space="preserve"> program.</w:t>
            </w:r>
            <w:r w:rsidR="00D3224A">
              <w:rPr>
                <w:rFonts w:ascii="Calibri" w:hAnsi="Calibri" w:cs="Arial"/>
              </w:rPr>
              <w:t xml:space="preserve">  </w:t>
            </w:r>
            <w:r w:rsidR="00D3224A">
              <w:rPr>
                <w:rFonts w:ascii="Calibri" w:hAnsi="Calibri" w:cs="Arial"/>
              </w:rPr>
              <w:t>DHCF has also involved providers and stakeholders in meetings to review and develop new business processes to streamline the waiver eligibility process.</w:t>
            </w:r>
          </w:p>
          <w:p w:rsidR="00226ECC" w:rsidRPr="00FB39E9" w:rsidRDefault="00226ECC" w:rsidP="00226ECC">
            <w:pPr>
              <w:widowControl w:val="0"/>
              <w:autoSpaceDE w:val="0"/>
              <w:autoSpaceDN w:val="0"/>
              <w:adjustRightInd w:val="0"/>
              <w:rPr>
                <w:rFonts w:ascii="Calibri" w:hAnsi="Calibri" w:cs="Arial"/>
              </w:rPr>
            </w:pPr>
          </w:p>
          <w:p w:rsidR="00F47C52" w:rsidRPr="00D3224A" w:rsidRDefault="00226ECC" w:rsidP="00D3224A">
            <w:pPr>
              <w:pStyle w:val="PlainText"/>
              <w:numPr>
                <w:ilvl w:val="0"/>
                <w:numId w:val="6"/>
              </w:numPr>
              <w:rPr>
                <w:rFonts w:asciiTheme="minorHAnsi" w:hAnsiTheme="minorHAnsi" w:cs="Arial"/>
                <w:sz w:val="24"/>
                <w:szCs w:val="24"/>
                <w:u w:val="single"/>
              </w:rPr>
            </w:pPr>
            <w:r w:rsidRPr="00D3224A">
              <w:rPr>
                <w:rFonts w:cs="Arial"/>
                <w:sz w:val="24"/>
                <w:szCs w:val="24"/>
              </w:rPr>
              <w:t>Develop and implement a Participant Directed Program, allowing people receiving EPD Waiver services to have responsibility for managing and directing all aspects of service delivery, including who provides the services and how the services are provided (DHCF by December 2016).</w:t>
            </w:r>
            <w:r w:rsidR="005E12D8" w:rsidRPr="00D3224A">
              <w:rPr>
                <w:rFonts w:cs="Arial"/>
                <w:sz w:val="24"/>
                <w:szCs w:val="24"/>
              </w:rPr>
              <w:t xml:space="preserve"> </w:t>
            </w:r>
          </w:p>
          <w:p w:rsidR="00226ECC" w:rsidRPr="00F47C52" w:rsidRDefault="00F47C52" w:rsidP="00F47C52">
            <w:pPr>
              <w:pStyle w:val="PlainText"/>
              <w:rPr>
                <w:rFonts w:asciiTheme="minorHAnsi" w:hAnsiTheme="minorHAnsi" w:cs="Arial"/>
                <w:sz w:val="24"/>
                <w:szCs w:val="24"/>
              </w:rPr>
            </w:pPr>
            <w:r>
              <w:rPr>
                <w:rFonts w:asciiTheme="minorHAnsi" w:hAnsiTheme="minorHAnsi" w:cs="Arial"/>
                <w:sz w:val="24"/>
                <w:szCs w:val="24"/>
              </w:rPr>
              <w:t>T</w:t>
            </w:r>
            <w:r w:rsidR="00FD08D0" w:rsidRPr="00F47C52">
              <w:rPr>
                <w:rFonts w:asciiTheme="minorHAnsi" w:hAnsiTheme="minorHAnsi" w:cs="Arial"/>
                <w:sz w:val="24"/>
                <w:szCs w:val="24"/>
              </w:rPr>
              <w:t>he Participant-Directed Services (PDS) program, Services My Way, began enrollment March 1, 2016, and is anticipating that services for the first participants will begin in late April 2016.</w:t>
            </w:r>
            <w:r w:rsidR="00DA07A2" w:rsidRPr="00F47C52">
              <w:rPr>
                <w:rFonts w:asciiTheme="minorHAnsi" w:hAnsiTheme="minorHAnsi"/>
                <w:sz w:val="24"/>
                <w:szCs w:val="24"/>
              </w:rPr>
              <w:t xml:space="preserve"> </w:t>
            </w:r>
            <w:r w:rsidR="00DA07A2" w:rsidRPr="00F47C52">
              <w:rPr>
                <w:rFonts w:asciiTheme="minorHAnsi" w:hAnsiTheme="minorHAnsi" w:cs="Times New Roman"/>
                <w:sz w:val="24"/>
                <w:szCs w:val="24"/>
              </w:rPr>
              <w:t xml:space="preserve">The PDS workgroup continues to advise DHCF via monthly meetings, and the PDS Program Coordinator completed individualized trainings for all case management agencies enrolled as providers in the EPD Waiver. The PDS Program Coordinator continues trainings for DHCF staff, and stakeholders, on the PDS Program.  </w:t>
            </w:r>
          </w:p>
          <w:p w:rsidR="00044DD8" w:rsidRPr="00044DD8" w:rsidRDefault="00044DD8" w:rsidP="00044DD8">
            <w:pPr>
              <w:pStyle w:val="ListBullet"/>
              <w:numPr>
                <w:ilvl w:val="0"/>
                <w:numId w:val="0"/>
              </w:numPr>
              <w:spacing w:before="0" w:after="0" w:line="240" w:lineRule="auto"/>
              <w:rPr>
                <w:rFonts w:ascii="Calibri" w:eastAsia="Times New Roman" w:hAnsi="Calibri"/>
                <w:color w:val="auto"/>
              </w:rPr>
            </w:pPr>
          </w:p>
          <w:p w:rsidR="00BF7928" w:rsidRPr="005F108E" w:rsidRDefault="009D2D21" w:rsidP="005E250C">
            <w:pPr>
              <w:rPr>
                <w:rFonts w:ascii="Arial" w:hAnsi="Arial" w:cs="Arial"/>
                <w:b/>
              </w:rPr>
            </w:pPr>
            <w:r w:rsidRPr="005F108E">
              <w:rPr>
                <w:rFonts w:ascii="Arial" w:hAnsi="Arial" w:cs="Arial"/>
                <w:b/>
              </w:rPr>
              <w:t>Intake, Enrollment, and Discharge</w:t>
            </w:r>
          </w:p>
          <w:p w:rsidR="005F108E" w:rsidRPr="005E250C" w:rsidRDefault="005F108E" w:rsidP="005E250C">
            <w:pPr>
              <w:rPr>
                <w:rFonts w:ascii="Arial" w:hAnsi="Arial" w:cs="Arial"/>
              </w:rPr>
            </w:pPr>
          </w:p>
          <w:p w:rsidR="006E6A67" w:rsidRPr="005F108E" w:rsidRDefault="006E6A67" w:rsidP="005F108E">
            <w:pPr>
              <w:jc w:val="both"/>
              <w:rPr>
                <w:rFonts w:asciiTheme="minorHAnsi" w:eastAsia="SimSun" w:hAnsiTheme="minorHAnsi"/>
                <w:lang w:eastAsia="zh-CN"/>
              </w:rPr>
            </w:pPr>
            <w:r w:rsidRPr="005F108E">
              <w:rPr>
                <w:rFonts w:asciiTheme="minorHAnsi" w:hAnsiTheme="minorHAnsi"/>
              </w:rPr>
              <w:t xml:space="preserve">DHCF is </w:t>
            </w:r>
            <w:r w:rsidRPr="005F108E">
              <w:rPr>
                <w:rFonts w:asciiTheme="minorHAnsi" w:eastAsia="SimSun" w:hAnsiTheme="minorHAnsi"/>
                <w:lang w:eastAsia="zh-CN"/>
              </w:rPr>
              <w:t xml:space="preserve">proposing rules to establish standards governing the assessment process for the level of need for beneficiaries who receive Long Term Care Services and Supports (LTCSS), with the exception of Intermediate Care Facilities for Individuals with Intellectual and Developmental Disabilities (ICF/IDD) services, and Home and Community-based Waiver Services for Individuals with Intellectual and Developmental Disabilities (IDD Waiver). </w:t>
            </w:r>
            <w:r w:rsidRPr="005F108E">
              <w:rPr>
                <w:rFonts w:asciiTheme="minorHAnsi" w:hAnsiTheme="minorHAnsi"/>
              </w:rPr>
              <w:t xml:space="preserve">This includes nursing home services, supports under </w:t>
            </w:r>
            <w:r w:rsidR="00F3327E">
              <w:rPr>
                <w:rFonts w:asciiTheme="minorHAnsi" w:eastAsia="SimSun" w:hAnsiTheme="minorHAnsi"/>
                <w:lang w:eastAsia="zh-CN"/>
              </w:rPr>
              <w:t>the Elderly and Physical Disabilities Home and Community-B</w:t>
            </w:r>
            <w:r w:rsidRPr="005F108E">
              <w:rPr>
                <w:rFonts w:asciiTheme="minorHAnsi" w:eastAsia="SimSun" w:hAnsiTheme="minorHAnsi"/>
                <w:lang w:eastAsia="zh-CN"/>
              </w:rPr>
              <w:t xml:space="preserve">ased </w:t>
            </w:r>
            <w:r w:rsidR="00F3327E">
              <w:rPr>
                <w:rFonts w:asciiTheme="minorHAnsi" w:eastAsia="SimSun" w:hAnsiTheme="minorHAnsi"/>
                <w:lang w:eastAsia="zh-CN"/>
              </w:rPr>
              <w:t xml:space="preserve">Services </w:t>
            </w:r>
            <w:r w:rsidRPr="005F108E">
              <w:rPr>
                <w:rFonts w:asciiTheme="minorHAnsi" w:eastAsia="SimSun" w:hAnsiTheme="minorHAnsi"/>
                <w:lang w:eastAsia="zh-CN"/>
              </w:rPr>
              <w:t xml:space="preserve">waiver (EPD Waiver), Personal Care Assistance (PCA) services, Adult Day Health Program (ADHP) services under the home and community-based state plan benefit, and other LTCSS not intended to service individuals with IDD.   </w:t>
            </w:r>
          </w:p>
          <w:p w:rsidR="006E6A67" w:rsidRPr="006E6A67" w:rsidRDefault="006E6A67" w:rsidP="006E6A67">
            <w:pPr>
              <w:tabs>
                <w:tab w:val="left" w:pos="1440"/>
              </w:tabs>
              <w:ind w:left="1440" w:hanging="1440"/>
              <w:jc w:val="both"/>
              <w:rPr>
                <w:rFonts w:asciiTheme="minorHAnsi" w:eastAsia="SimSun" w:hAnsiTheme="minorHAnsi"/>
                <w:lang w:eastAsia="zh-CN"/>
              </w:rPr>
            </w:pPr>
          </w:p>
          <w:p w:rsidR="006E6A67" w:rsidRPr="006E6A67" w:rsidRDefault="006E6A67" w:rsidP="006E6A67">
            <w:pPr>
              <w:jc w:val="both"/>
              <w:rPr>
                <w:rFonts w:asciiTheme="minorHAnsi" w:eastAsia="SimSun" w:hAnsiTheme="minorHAnsi"/>
                <w:lang w:eastAsia="zh-CN"/>
              </w:rPr>
            </w:pPr>
            <w:r w:rsidRPr="006E6A67">
              <w:rPr>
                <w:rFonts w:asciiTheme="minorHAnsi" w:hAnsiTheme="minorHAnsi"/>
              </w:rPr>
              <w:t xml:space="preserve">The assessment process is conducted by using a standardized needs-based assessment tool. The tool is currently being used by DHCF to assess the need for Medicaid PCA services under the State Plan and EPD Waiver.  It will eventually be used to assess the need for the other long term care services described herein as the rules governing those services are amended. Hence, the effective date of the tool will be staggered to coincide with the effective date of the revised/amended EPD Waiver rules, and the revised rules governing other long term care services.  </w:t>
            </w:r>
          </w:p>
          <w:p w:rsidR="00226ECC" w:rsidRPr="007B4549" w:rsidRDefault="00226ECC" w:rsidP="00226ECC">
            <w:pPr>
              <w:rPr>
                <w:rFonts w:ascii="Arial" w:hAnsi="Arial" w:cs="Arial"/>
              </w:rPr>
            </w:pPr>
          </w:p>
          <w:p w:rsidR="00BF7928" w:rsidRPr="005F108E" w:rsidRDefault="009D2D21" w:rsidP="00044DD8">
            <w:pPr>
              <w:rPr>
                <w:rFonts w:ascii="Arial" w:hAnsi="Arial" w:cs="Arial"/>
                <w:b/>
              </w:rPr>
            </w:pPr>
            <w:r w:rsidRPr="005F108E">
              <w:rPr>
                <w:rFonts w:ascii="Arial" w:hAnsi="Arial" w:cs="Arial"/>
                <w:b/>
              </w:rPr>
              <w:t>Person-Centered Culture</w:t>
            </w:r>
          </w:p>
          <w:p w:rsidR="00226ECC" w:rsidRPr="00FB39E9" w:rsidRDefault="00226ECC" w:rsidP="00695DA6">
            <w:pPr>
              <w:widowControl w:val="0"/>
              <w:numPr>
                <w:ilvl w:val="0"/>
                <w:numId w:val="6"/>
              </w:numPr>
              <w:autoSpaceDE w:val="0"/>
              <w:autoSpaceDN w:val="0"/>
              <w:adjustRightInd w:val="0"/>
              <w:contextualSpacing/>
              <w:rPr>
                <w:rFonts w:ascii="Calibri" w:hAnsi="Calibri" w:cs="Arial"/>
              </w:rPr>
            </w:pPr>
            <w:r w:rsidRPr="00FB39E9">
              <w:rPr>
                <w:rFonts w:ascii="Calibri" w:hAnsi="Calibri" w:cs="Arial"/>
              </w:rPr>
              <w:t>Develop and implement clear expectations, competency criteria, standards, policies and protocols for all LTSS staff in the consistent use of person-centered approaches to service and planning, including using principles of supported decision-making (regardless of whether individuals have guardians or other sub</w:t>
            </w:r>
            <w:bookmarkStart w:id="0" w:name="_GoBack"/>
            <w:bookmarkEnd w:id="0"/>
            <w:r w:rsidRPr="00FB39E9">
              <w:rPr>
                <w:rFonts w:ascii="Calibri" w:hAnsi="Calibri" w:cs="Arial"/>
              </w:rPr>
              <w:t>stitute healthcare decision-makers) (NWD/DDS by September 2016).</w:t>
            </w:r>
          </w:p>
          <w:p w:rsidR="009F02A0" w:rsidRPr="009F02A0" w:rsidRDefault="009F02A0" w:rsidP="009F02A0">
            <w:pPr>
              <w:pStyle w:val="CommentText"/>
              <w:rPr>
                <w:rFonts w:asciiTheme="minorHAnsi" w:hAnsiTheme="minorHAnsi"/>
                <w:sz w:val="24"/>
                <w:szCs w:val="24"/>
              </w:rPr>
            </w:pPr>
            <w:r w:rsidRPr="009F02A0">
              <w:rPr>
                <w:rFonts w:asciiTheme="minorHAnsi" w:hAnsiTheme="minorHAnsi"/>
                <w:sz w:val="24"/>
                <w:szCs w:val="24"/>
              </w:rPr>
              <w:t>DHCF is working closely with the No Wrong Door team to implement a robust training curriculum, including a person-centered thinking trainer at DHCF, conducting 2-day training</w:t>
            </w:r>
            <w:r w:rsidR="00983F76">
              <w:rPr>
                <w:rFonts w:asciiTheme="minorHAnsi" w:hAnsiTheme="minorHAnsi"/>
                <w:sz w:val="24"/>
                <w:szCs w:val="24"/>
              </w:rPr>
              <w:t xml:space="preserve"> for</w:t>
            </w:r>
            <w:r w:rsidRPr="009F02A0">
              <w:rPr>
                <w:rFonts w:asciiTheme="minorHAnsi" w:hAnsiTheme="minorHAnsi"/>
                <w:sz w:val="24"/>
                <w:szCs w:val="24"/>
              </w:rPr>
              <w:t xml:space="preserve"> all Long Term Care and Ombudsman staff on person-centered thinking, and requiring 10 hours of on-line training across a 12-month period for each EPD-serving case manager. </w:t>
            </w:r>
          </w:p>
          <w:p w:rsidR="009F02A0" w:rsidRPr="009F02A0" w:rsidRDefault="009F02A0" w:rsidP="009F02A0">
            <w:pPr>
              <w:pStyle w:val="CommentText"/>
              <w:rPr>
                <w:rFonts w:asciiTheme="minorHAnsi" w:hAnsiTheme="minorHAnsi"/>
                <w:sz w:val="24"/>
                <w:szCs w:val="24"/>
              </w:rPr>
            </w:pPr>
          </w:p>
          <w:p w:rsidR="009F02A0" w:rsidRPr="009F02A0" w:rsidRDefault="009F02A0" w:rsidP="009F02A0">
            <w:pPr>
              <w:pStyle w:val="CommentText"/>
              <w:rPr>
                <w:rFonts w:asciiTheme="minorHAnsi" w:hAnsiTheme="minorHAnsi"/>
                <w:sz w:val="24"/>
                <w:szCs w:val="24"/>
              </w:rPr>
            </w:pPr>
            <w:r w:rsidRPr="009F02A0">
              <w:rPr>
                <w:rFonts w:asciiTheme="minorHAnsi" w:hAnsiTheme="minorHAnsi"/>
                <w:sz w:val="24"/>
                <w:szCs w:val="24"/>
              </w:rPr>
              <w:t>DHCF also continues to conduct PCP trainings, most recently of the LTC Monitoring Team and for DHCF’s long term care services and supports contractor, Delmarva Foundation.</w:t>
            </w:r>
          </w:p>
          <w:p w:rsidR="00226ECC" w:rsidRPr="00FB39E9" w:rsidRDefault="00226ECC" w:rsidP="00226ECC">
            <w:pPr>
              <w:widowControl w:val="0"/>
              <w:autoSpaceDE w:val="0"/>
              <w:autoSpaceDN w:val="0"/>
              <w:adjustRightInd w:val="0"/>
              <w:rPr>
                <w:rFonts w:ascii="Calibri" w:hAnsi="Calibri" w:cs="Arial"/>
              </w:rPr>
            </w:pPr>
          </w:p>
          <w:p w:rsidR="00830EC7" w:rsidRPr="00E250B9" w:rsidRDefault="00830EC7" w:rsidP="005E250C">
            <w:pPr>
              <w:widowControl w:val="0"/>
              <w:autoSpaceDE w:val="0"/>
              <w:autoSpaceDN w:val="0"/>
              <w:adjustRightInd w:val="0"/>
              <w:contextualSpacing/>
              <w:rPr>
                <w:rFonts w:ascii="Arial" w:hAnsi="Arial" w:cs="Arial"/>
              </w:rPr>
            </w:pPr>
          </w:p>
        </w:tc>
      </w:tr>
    </w:tbl>
    <w:p w:rsidR="00AF0283" w:rsidRDefault="00AF0283"/>
    <w:sectPr w:rsidR="00AF0283" w:rsidSect="00425505">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BC" w:rsidRDefault="00325FBC" w:rsidP="008D6B36">
      <w:r>
        <w:separator/>
      </w:r>
    </w:p>
  </w:endnote>
  <w:endnote w:type="continuationSeparator" w:id="0">
    <w:p w:rsidR="00325FBC" w:rsidRDefault="00325FBC" w:rsidP="008D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88091"/>
      <w:docPartObj>
        <w:docPartGallery w:val="Page Numbers (Bottom of Page)"/>
        <w:docPartUnique/>
      </w:docPartObj>
    </w:sdtPr>
    <w:sdtEndPr>
      <w:rPr>
        <w:noProof/>
      </w:rPr>
    </w:sdtEndPr>
    <w:sdtContent>
      <w:p w:rsidR="008D6B36" w:rsidRDefault="008D6B36">
        <w:pPr>
          <w:pStyle w:val="Footer"/>
          <w:jc w:val="right"/>
        </w:pPr>
        <w:r>
          <w:fldChar w:fldCharType="begin"/>
        </w:r>
        <w:r>
          <w:instrText xml:space="preserve"> PAGE   \* MERGEFORMAT </w:instrText>
        </w:r>
        <w:r>
          <w:fldChar w:fldCharType="separate"/>
        </w:r>
        <w:r w:rsidR="003B6B3C">
          <w:rPr>
            <w:noProof/>
          </w:rPr>
          <w:t>5</w:t>
        </w:r>
        <w:r>
          <w:rPr>
            <w:noProof/>
          </w:rPr>
          <w:fldChar w:fldCharType="end"/>
        </w:r>
      </w:p>
    </w:sdtContent>
  </w:sdt>
  <w:p w:rsidR="008D6B36" w:rsidRDefault="008D6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BC" w:rsidRDefault="00325FBC" w:rsidP="008D6B36">
      <w:r>
        <w:separator/>
      </w:r>
    </w:p>
  </w:footnote>
  <w:footnote w:type="continuationSeparator" w:id="0">
    <w:p w:rsidR="00325FBC" w:rsidRDefault="00325FBC" w:rsidP="008D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503"/>
      </v:shape>
    </w:pict>
  </w:numPicBullet>
  <w:abstractNum w:abstractNumId="0">
    <w:nsid w:val="FFFFFF89"/>
    <w:multiLevelType w:val="singleLevel"/>
    <w:tmpl w:val="27D20776"/>
    <w:lvl w:ilvl="0">
      <w:start w:val="1"/>
      <w:numFmt w:val="bullet"/>
      <w:pStyle w:val="ListBullet"/>
      <w:lvlText w:val=""/>
      <w:lvlJc w:val="left"/>
      <w:pPr>
        <w:ind w:left="360" w:hanging="360"/>
      </w:pPr>
      <w:rPr>
        <w:rFonts w:ascii="Symbol" w:hAnsi="Symbol" w:hint="default"/>
        <w:color w:val="auto"/>
      </w:rPr>
    </w:lvl>
  </w:abstractNum>
  <w:abstractNum w:abstractNumId="1">
    <w:nsid w:val="0C77504B"/>
    <w:multiLevelType w:val="hybridMultilevel"/>
    <w:tmpl w:val="13945742"/>
    <w:lvl w:ilvl="0" w:tplc="A82ACDCE">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B3E82"/>
    <w:multiLevelType w:val="hybridMultilevel"/>
    <w:tmpl w:val="5FFEFFBC"/>
    <w:lvl w:ilvl="0" w:tplc="29BEE40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846DE"/>
    <w:multiLevelType w:val="hybridMultilevel"/>
    <w:tmpl w:val="A2D0AA86"/>
    <w:lvl w:ilvl="0" w:tplc="5B369D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0204"/>
    <w:multiLevelType w:val="hybridMultilevel"/>
    <w:tmpl w:val="F6860650"/>
    <w:lvl w:ilvl="0" w:tplc="F2240FF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47B2E"/>
    <w:multiLevelType w:val="hybridMultilevel"/>
    <w:tmpl w:val="CAACD99A"/>
    <w:lvl w:ilvl="0" w:tplc="4ABEB14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47E0B"/>
    <w:multiLevelType w:val="hybridMultilevel"/>
    <w:tmpl w:val="ABC41AA6"/>
    <w:lvl w:ilvl="0" w:tplc="29BEE404">
      <w:start w:val="1"/>
      <w:numFmt w:val="bullet"/>
      <w:lvlText w:val="◦"/>
      <w:lvlJc w:val="left"/>
      <w:pPr>
        <w:tabs>
          <w:tab w:val="num" w:pos="720"/>
        </w:tabs>
        <w:ind w:left="720" w:hanging="360"/>
      </w:pPr>
      <w:rPr>
        <w:rFonts w:ascii="Verdana" w:hAnsi="Verdana" w:hint="default"/>
      </w:rPr>
    </w:lvl>
    <w:lvl w:ilvl="1" w:tplc="F0BE3362">
      <w:start w:val="1"/>
      <w:numFmt w:val="bullet"/>
      <w:lvlText w:val="◦"/>
      <w:lvlJc w:val="left"/>
      <w:pPr>
        <w:tabs>
          <w:tab w:val="num" w:pos="1440"/>
        </w:tabs>
        <w:ind w:left="1440" w:hanging="360"/>
      </w:pPr>
      <w:rPr>
        <w:rFonts w:ascii="Verdana" w:hAnsi="Verdana" w:hint="default"/>
      </w:rPr>
    </w:lvl>
    <w:lvl w:ilvl="2" w:tplc="A6E66A78" w:tentative="1">
      <w:start w:val="1"/>
      <w:numFmt w:val="bullet"/>
      <w:lvlText w:val="◦"/>
      <w:lvlJc w:val="left"/>
      <w:pPr>
        <w:tabs>
          <w:tab w:val="num" w:pos="2160"/>
        </w:tabs>
        <w:ind w:left="2160" w:hanging="360"/>
      </w:pPr>
      <w:rPr>
        <w:rFonts w:ascii="Verdana" w:hAnsi="Verdana" w:hint="default"/>
      </w:rPr>
    </w:lvl>
    <w:lvl w:ilvl="3" w:tplc="E7EE1BBE" w:tentative="1">
      <w:start w:val="1"/>
      <w:numFmt w:val="bullet"/>
      <w:lvlText w:val="◦"/>
      <w:lvlJc w:val="left"/>
      <w:pPr>
        <w:tabs>
          <w:tab w:val="num" w:pos="2880"/>
        </w:tabs>
        <w:ind w:left="2880" w:hanging="360"/>
      </w:pPr>
      <w:rPr>
        <w:rFonts w:ascii="Verdana" w:hAnsi="Verdana" w:hint="default"/>
      </w:rPr>
    </w:lvl>
    <w:lvl w:ilvl="4" w:tplc="CF023E42" w:tentative="1">
      <w:start w:val="1"/>
      <w:numFmt w:val="bullet"/>
      <w:lvlText w:val="◦"/>
      <w:lvlJc w:val="left"/>
      <w:pPr>
        <w:tabs>
          <w:tab w:val="num" w:pos="3600"/>
        </w:tabs>
        <w:ind w:left="3600" w:hanging="360"/>
      </w:pPr>
      <w:rPr>
        <w:rFonts w:ascii="Verdana" w:hAnsi="Verdana" w:hint="default"/>
      </w:rPr>
    </w:lvl>
    <w:lvl w:ilvl="5" w:tplc="B82E7094" w:tentative="1">
      <w:start w:val="1"/>
      <w:numFmt w:val="bullet"/>
      <w:lvlText w:val="◦"/>
      <w:lvlJc w:val="left"/>
      <w:pPr>
        <w:tabs>
          <w:tab w:val="num" w:pos="4320"/>
        </w:tabs>
        <w:ind w:left="4320" w:hanging="360"/>
      </w:pPr>
      <w:rPr>
        <w:rFonts w:ascii="Verdana" w:hAnsi="Verdana" w:hint="default"/>
      </w:rPr>
    </w:lvl>
    <w:lvl w:ilvl="6" w:tplc="542A2954" w:tentative="1">
      <w:start w:val="1"/>
      <w:numFmt w:val="bullet"/>
      <w:lvlText w:val="◦"/>
      <w:lvlJc w:val="left"/>
      <w:pPr>
        <w:tabs>
          <w:tab w:val="num" w:pos="5040"/>
        </w:tabs>
        <w:ind w:left="5040" w:hanging="360"/>
      </w:pPr>
      <w:rPr>
        <w:rFonts w:ascii="Verdana" w:hAnsi="Verdana" w:hint="default"/>
      </w:rPr>
    </w:lvl>
    <w:lvl w:ilvl="7" w:tplc="CD66753A" w:tentative="1">
      <w:start w:val="1"/>
      <w:numFmt w:val="bullet"/>
      <w:lvlText w:val="◦"/>
      <w:lvlJc w:val="left"/>
      <w:pPr>
        <w:tabs>
          <w:tab w:val="num" w:pos="5760"/>
        </w:tabs>
        <w:ind w:left="5760" w:hanging="360"/>
      </w:pPr>
      <w:rPr>
        <w:rFonts w:ascii="Verdana" w:hAnsi="Verdana" w:hint="default"/>
      </w:rPr>
    </w:lvl>
    <w:lvl w:ilvl="8" w:tplc="D4544B08" w:tentative="1">
      <w:start w:val="1"/>
      <w:numFmt w:val="bullet"/>
      <w:lvlText w:val="◦"/>
      <w:lvlJc w:val="left"/>
      <w:pPr>
        <w:tabs>
          <w:tab w:val="num" w:pos="6480"/>
        </w:tabs>
        <w:ind w:left="6480" w:hanging="360"/>
      </w:pPr>
      <w:rPr>
        <w:rFonts w:ascii="Verdana" w:hAnsi="Verdana" w:hint="default"/>
      </w:rPr>
    </w:lvl>
  </w:abstractNum>
  <w:abstractNum w:abstractNumId="7">
    <w:nsid w:val="26FE24EA"/>
    <w:multiLevelType w:val="hybridMultilevel"/>
    <w:tmpl w:val="13EA51E0"/>
    <w:lvl w:ilvl="0" w:tplc="CFD47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17599"/>
    <w:multiLevelType w:val="hybridMultilevel"/>
    <w:tmpl w:val="701A1D0E"/>
    <w:lvl w:ilvl="0" w:tplc="F2240FFC">
      <w:start w:val="1"/>
      <w:numFmt w:val="decimal"/>
      <w:lvlText w:val="%1."/>
      <w:lvlJc w:val="left"/>
      <w:pPr>
        <w:ind w:left="2880" w:hanging="360"/>
      </w:pPr>
      <w:rPr>
        <w:rFonts w:hint="default"/>
        <w:b/>
        <w:bCs/>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0">
    <w:nsid w:val="2AF82D68"/>
    <w:multiLevelType w:val="hybridMultilevel"/>
    <w:tmpl w:val="6750FCAC"/>
    <w:lvl w:ilvl="0" w:tplc="F2240FFC">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76967"/>
    <w:multiLevelType w:val="hybridMultilevel"/>
    <w:tmpl w:val="4BBA9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B0DF1"/>
    <w:multiLevelType w:val="hybridMultilevel"/>
    <w:tmpl w:val="3000EBC0"/>
    <w:lvl w:ilvl="0" w:tplc="34EE12B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55566"/>
    <w:multiLevelType w:val="hybridMultilevel"/>
    <w:tmpl w:val="F724A95A"/>
    <w:lvl w:ilvl="0" w:tplc="F2240FFC">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2A4F07"/>
    <w:multiLevelType w:val="hybridMultilevel"/>
    <w:tmpl w:val="287E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4E12D25"/>
    <w:multiLevelType w:val="hybridMultilevel"/>
    <w:tmpl w:val="29F4FC4E"/>
    <w:lvl w:ilvl="0" w:tplc="5FC801D2">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E4113"/>
    <w:multiLevelType w:val="hybridMultilevel"/>
    <w:tmpl w:val="D706B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23715"/>
    <w:multiLevelType w:val="hybridMultilevel"/>
    <w:tmpl w:val="FE525CA0"/>
    <w:lvl w:ilvl="0" w:tplc="9BA82D80">
      <w:start w:val="8"/>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FA106A"/>
    <w:multiLevelType w:val="hybridMultilevel"/>
    <w:tmpl w:val="C5F251E6"/>
    <w:lvl w:ilvl="0" w:tplc="F2240FF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D6D35"/>
    <w:multiLevelType w:val="hybridMultilevel"/>
    <w:tmpl w:val="82125D22"/>
    <w:lvl w:ilvl="0" w:tplc="5D9A3A0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CA3043"/>
    <w:multiLevelType w:val="hybridMultilevel"/>
    <w:tmpl w:val="9118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6B68DF"/>
    <w:multiLevelType w:val="hybridMultilevel"/>
    <w:tmpl w:val="57CCBF8A"/>
    <w:lvl w:ilvl="0" w:tplc="D180B452">
      <w:start w:val="4"/>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1121982"/>
    <w:multiLevelType w:val="hybridMultilevel"/>
    <w:tmpl w:val="A5D0CD46"/>
    <w:lvl w:ilvl="0" w:tplc="F2240FF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D1A39"/>
    <w:multiLevelType w:val="hybridMultilevel"/>
    <w:tmpl w:val="592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E43DF"/>
    <w:multiLevelType w:val="hybridMultilevel"/>
    <w:tmpl w:val="968E620E"/>
    <w:lvl w:ilvl="0" w:tplc="D3ECAC4E">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906FE1"/>
    <w:multiLevelType w:val="hybridMultilevel"/>
    <w:tmpl w:val="42BA4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23"/>
  </w:num>
  <w:num w:numId="4">
    <w:abstractNumId w:val="5"/>
  </w:num>
  <w:num w:numId="5">
    <w:abstractNumId w:val="19"/>
  </w:num>
  <w:num w:numId="6">
    <w:abstractNumId w:val="6"/>
  </w:num>
  <w:num w:numId="7">
    <w:abstractNumId w:val="13"/>
  </w:num>
  <w:num w:numId="8">
    <w:abstractNumId w:val="8"/>
  </w:num>
  <w:num w:numId="9">
    <w:abstractNumId w:val="0"/>
  </w:num>
  <w:num w:numId="10">
    <w:abstractNumId w:val="18"/>
  </w:num>
  <w:num w:numId="11">
    <w:abstractNumId w:val="4"/>
  </w:num>
  <w:num w:numId="12">
    <w:abstractNumId w:val="3"/>
  </w:num>
  <w:num w:numId="13">
    <w:abstractNumId w:val="1"/>
  </w:num>
  <w:num w:numId="14">
    <w:abstractNumId w:val="10"/>
  </w:num>
  <w:num w:numId="15">
    <w:abstractNumId w:val="15"/>
  </w:num>
  <w:num w:numId="16">
    <w:abstractNumId w:val="22"/>
  </w:num>
  <w:num w:numId="17">
    <w:abstractNumId w:val="7"/>
  </w:num>
  <w:num w:numId="18">
    <w:abstractNumId w:val="24"/>
  </w:num>
  <w:num w:numId="19">
    <w:abstractNumId w:val="21"/>
  </w:num>
  <w:num w:numId="20">
    <w:abstractNumId w:val="12"/>
  </w:num>
  <w:num w:numId="21">
    <w:abstractNumId w:val="17"/>
  </w:num>
  <w:num w:numId="22">
    <w:abstractNumId w:val="25"/>
  </w:num>
  <w:num w:numId="23">
    <w:abstractNumId w:val="16"/>
  </w:num>
  <w:num w:numId="24">
    <w:abstractNumId w:val="14"/>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51"/>
    <w:rsid w:val="00011CB4"/>
    <w:rsid w:val="0003311F"/>
    <w:rsid w:val="00036E51"/>
    <w:rsid w:val="00044DD8"/>
    <w:rsid w:val="000502B7"/>
    <w:rsid w:val="00064B62"/>
    <w:rsid w:val="000915E0"/>
    <w:rsid w:val="000D27DF"/>
    <w:rsid w:val="000F2A15"/>
    <w:rsid w:val="00100768"/>
    <w:rsid w:val="001102CD"/>
    <w:rsid w:val="001345C9"/>
    <w:rsid w:val="0014232C"/>
    <w:rsid w:val="001805B8"/>
    <w:rsid w:val="00180D04"/>
    <w:rsid w:val="001B00DB"/>
    <w:rsid w:val="001C06C8"/>
    <w:rsid w:val="001C4988"/>
    <w:rsid w:val="0020380B"/>
    <w:rsid w:val="00226ECC"/>
    <w:rsid w:val="00231067"/>
    <w:rsid w:val="002455F4"/>
    <w:rsid w:val="00254474"/>
    <w:rsid w:val="002717B2"/>
    <w:rsid w:val="00277700"/>
    <w:rsid w:val="00285736"/>
    <w:rsid w:val="00325FBC"/>
    <w:rsid w:val="00347FA0"/>
    <w:rsid w:val="00382614"/>
    <w:rsid w:val="00394855"/>
    <w:rsid w:val="003A1BC4"/>
    <w:rsid w:val="003A4C86"/>
    <w:rsid w:val="003B474A"/>
    <w:rsid w:val="003B6B3C"/>
    <w:rsid w:val="003D25F1"/>
    <w:rsid w:val="00425505"/>
    <w:rsid w:val="00461190"/>
    <w:rsid w:val="004677C4"/>
    <w:rsid w:val="00495DFC"/>
    <w:rsid w:val="004D6FC8"/>
    <w:rsid w:val="00525DAD"/>
    <w:rsid w:val="00551C12"/>
    <w:rsid w:val="005B7BDA"/>
    <w:rsid w:val="005E12D8"/>
    <w:rsid w:val="005E250C"/>
    <w:rsid w:val="005E38BB"/>
    <w:rsid w:val="005F108E"/>
    <w:rsid w:val="00637359"/>
    <w:rsid w:val="00695DA6"/>
    <w:rsid w:val="006A3928"/>
    <w:rsid w:val="006D0CA4"/>
    <w:rsid w:val="006D444F"/>
    <w:rsid w:val="006E6A67"/>
    <w:rsid w:val="006F1147"/>
    <w:rsid w:val="00701361"/>
    <w:rsid w:val="00724742"/>
    <w:rsid w:val="00730650"/>
    <w:rsid w:val="00731832"/>
    <w:rsid w:val="00741046"/>
    <w:rsid w:val="00756CEE"/>
    <w:rsid w:val="007A2774"/>
    <w:rsid w:val="007B4549"/>
    <w:rsid w:val="007B57EB"/>
    <w:rsid w:val="007C0285"/>
    <w:rsid w:val="007D1DDC"/>
    <w:rsid w:val="007E2829"/>
    <w:rsid w:val="007F0566"/>
    <w:rsid w:val="00804BE0"/>
    <w:rsid w:val="00810603"/>
    <w:rsid w:val="00830EC7"/>
    <w:rsid w:val="00862B53"/>
    <w:rsid w:val="00870227"/>
    <w:rsid w:val="008A2251"/>
    <w:rsid w:val="008D6A39"/>
    <w:rsid w:val="008D6B36"/>
    <w:rsid w:val="009141F6"/>
    <w:rsid w:val="00957C07"/>
    <w:rsid w:val="00976B1F"/>
    <w:rsid w:val="00983F76"/>
    <w:rsid w:val="009B0A9B"/>
    <w:rsid w:val="009C7C23"/>
    <w:rsid w:val="009D2D21"/>
    <w:rsid w:val="009E4D81"/>
    <w:rsid w:val="009F02A0"/>
    <w:rsid w:val="00A058F9"/>
    <w:rsid w:val="00A20578"/>
    <w:rsid w:val="00A63D03"/>
    <w:rsid w:val="00AA25BB"/>
    <w:rsid w:val="00AD6889"/>
    <w:rsid w:val="00AF0283"/>
    <w:rsid w:val="00B068AC"/>
    <w:rsid w:val="00B42B45"/>
    <w:rsid w:val="00B52EE3"/>
    <w:rsid w:val="00B551E1"/>
    <w:rsid w:val="00B56C56"/>
    <w:rsid w:val="00B63AB2"/>
    <w:rsid w:val="00B83E79"/>
    <w:rsid w:val="00B87B8E"/>
    <w:rsid w:val="00B9005E"/>
    <w:rsid w:val="00B96581"/>
    <w:rsid w:val="00BC4E71"/>
    <w:rsid w:val="00BD3B56"/>
    <w:rsid w:val="00BE2D27"/>
    <w:rsid w:val="00BF7928"/>
    <w:rsid w:val="00C3110B"/>
    <w:rsid w:val="00C379EC"/>
    <w:rsid w:val="00C7505F"/>
    <w:rsid w:val="00C809EE"/>
    <w:rsid w:val="00CA5846"/>
    <w:rsid w:val="00CC20D4"/>
    <w:rsid w:val="00D3224A"/>
    <w:rsid w:val="00DA07A2"/>
    <w:rsid w:val="00DB3EC4"/>
    <w:rsid w:val="00DB4379"/>
    <w:rsid w:val="00DD7DE2"/>
    <w:rsid w:val="00DE65F3"/>
    <w:rsid w:val="00DF2EE2"/>
    <w:rsid w:val="00E85879"/>
    <w:rsid w:val="00F15EF8"/>
    <w:rsid w:val="00F3327E"/>
    <w:rsid w:val="00F442FB"/>
    <w:rsid w:val="00F47C52"/>
    <w:rsid w:val="00FA6764"/>
    <w:rsid w:val="00FD08D0"/>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51"/>
    <w:pPr>
      <w:ind w:left="720"/>
      <w:contextualSpacing/>
    </w:pPr>
  </w:style>
  <w:style w:type="table" w:styleId="TableGrid">
    <w:name w:val="Table Grid"/>
    <w:basedOn w:val="TableNormal"/>
    <w:uiPriority w:val="59"/>
    <w:rsid w:val="00036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36E51"/>
    <w:rPr>
      <w:i/>
      <w:iCs/>
    </w:rPr>
  </w:style>
  <w:style w:type="paragraph" w:styleId="BalloonText">
    <w:name w:val="Balloon Text"/>
    <w:basedOn w:val="Normal"/>
    <w:link w:val="BalloonTextChar"/>
    <w:uiPriority w:val="99"/>
    <w:semiHidden/>
    <w:unhideWhenUsed/>
    <w:rsid w:val="000915E0"/>
    <w:rPr>
      <w:rFonts w:ascii="Tahoma" w:hAnsi="Tahoma" w:cs="Tahoma"/>
      <w:sz w:val="16"/>
      <w:szCs w:val="16"/>
    </w:rPr>
  </w:style>
  <w:style w:type="character" w:customStyle="1" w:styleId="BalloonTextChar">
    <w:name w:val="Balloon Text Char"/>
    <w:basedOn w:val="DefaultParagraphFont"/>
    <w:link w:val="BalloonText"/>
    <w:uiPriority w:val="99"/>
    <w:semiHidden/>
    <w:rsid w:val="000915E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C7C23"/>
    <w:rPr>
      <w:sz w:val="16"/>
      <w:szCs w:val="16"/>
    </w:rPr>
  </w:style>
  <w:style w:type="paragraph" w:styleId="CommentText">
    <w:name w:val="annotation text"/>
    <w:basedOn w:val="Normal"/>
    <w:link w:val="CommentTextChar"/>
    <w:uiPriority w:val="99"/>
    <w:semiHidden/>
    <w:unhideWhenUsed/>
    <w:rsid w:val="009C7C23"/>
    <w:rPr>
      <w:sz w:val="20"/>
      <w:szCs w:val="20"/>
    </w:rPr>
  </w:style>
  <w:style w:type="character" w:customStyle="1" w:styleId="CommentTextChar">
    <w:name w:val="Comment Text Char"/>
    <w:basedOn w:val="DefaultParagraphFont"/>
    <w:link w:val="CommentText"/>
    <w:uiPriority w:val="99"/>
    <w:semiHidden/>
    <w:rsid w:val="009C7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C23"/>
    <w:rPr>
      <w:b/>
      <w:bCs/>
    </w:rPr>
  </w:style>
  <w:style w:type="character" w:customStyle="1" w:styleId="CommentSubjectChar">
    <w:name w:val="Comment Subject Char"/>
    <w:basedOn w:val="CommentTextChar"/>
    <w:link w:val="CommentSubject"/>
    <w:uiPriority w:val="99"/>
    <w:semiHidden/>
    <w:rsid w:val="009C7C2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1BC4"/>
    <w:rPr>
      <w:color w:val="0000FF" w:themeColor="hyperlink"/>
      <w:u w:val="single"/>
    </w:rPr>
  </w:style>
  <w:style w:type="paragraph" w:styleId="Header">
    <w:name w:val="header"/>
    <w:basedOn w:val="Normal"/>
    <w:link w:val="HeaderChar"/>
    <w:uiPriority w:val="99"/>
    <w:unhideWhenUsed/>
    <w:rsid w:val="008D6B36"/>
    <w:pPr>
      <w:tabs>
        <w:tab w:val="center" w:pos="4680"/>
        <w:tab w:val="right" w:pos="9360"/>
      </w:tabs>
    </w:pPr>
  </w:style>
  <w:style w:type="character" w:customStyle="1" w:styleId="HeaderChar">
    <w:name w:val="Header Char"/>
    <w:basedOn w:val="DefaultParagraphFont"/>
    <w:link w:val="Header"/>
    <w:uiPriority w:val="99"/>
    <w:rsid w:val="008D6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B36"/>
    <w:pPr>
      <w:tabs>
        <w:tab w:val="center" w:pos="4680"/>
        <w:tab w:val="right" w:pos="9360"/>
      </w:tabs>
    </w:pPr>
  </w:style>
  <w:style w:type="character" w:customStyle="1" w:styleId="FooterChar">
    <w:name w:val="Footer Char"/>
    <w:basedOn w:val="DefaultParagraphFont"/>
    <w:link w:val="Footer"/>
    <w:uiPriority w:val="99"/>
    <w:rsid w:val="008D6B3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26ECC"/>
    <w:rPr>
      <w:rFonts w:ascii="Cambria" w:eastAsia="MS Mincho" w:hAnsi="Cambria"/>
    </w:rPr>
  </w:style>
  <w:style w:type="character" w:customStyle="1" w:styleId="EndnoteTextChar">
    <w:name w:val="Endnote Text Char"/>
    <w:basedOn w:val="DefaultParagraphFont"/>
    <w:link w:val="EndnoteText"/>
    <w:uiPriority w:val="99"/>
    <w:semiHidden/>
    <w:rsid w:val="00226ECC"/>
    <w:rPr>
      <w:rFonts w:ascii="Cambria" w:eastAsia="MS Mincho" w:hAnsi="Cambria" w:cs="Times New Roman"/>
      <w:sz w:val="24"/>
      <w:szCs w:val="24"/>
    </w:rPr>
  </w:style>
  <w:style w:type="character" w:styleId="EndnoteReference">
    <w:name w:val="endnote reference"/>
    <w:uiPriority w:val="99"/>
    <w:semiHidden/>
    <w:unhideWhenUsed/>
    <w:rsid w:val="00226ECC"/>
    <w:rPr>
      <w:vertAlign w:val="superscript"/>
    </w:rPr>
  </w:style>
  <w:style w:type="paragraph" w:styleId="ListBullet">
    <w:name w:val="List Bullet"/>
    <w:basedOn w:val="Normal"/>
    <w:uiPriority w:val="2"/>
    <w:qFormat/>
    <w:rsid w:val="00226ECC"/>
    <w:pPr>
      <w:numPr>
        <w:numId w:val="9"/>
      </w:numPr>
      <w:spacing w:before="120" w:after="120" w:line="259" w:lineRule="auto"/>
    </w:pPr>
    <w:rPr>
      <w:rFonts w:ascii="Cambria" w:eastAsia="Cambria" w:hAnsi="Cambria"/>
      <w:color w:val="404040"/>
      <w:szCs w:val="20"/>
    </w:rPr>
  </w:style>
  <w:style w:type="paragraph" w:styleId="PlainText">
    <w:name w:val="Plain Text"/>
    <w:basedOn w:val="Normal"/>
    <w:link w:val="PlainTextChar"/>
    <w:uiPriority w:val="99"/>
    <w:unhideWhenUsed/>
    <w:rsid w:val="00DA07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A07A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51"/>
    <w:pPr>
      <w:ind w:left="720"/>
      <w:contextualSpacing/>
    </w:pPr>
  </w:style>
  <w:style w:type="table" w:styleId="TableGrid">
    <w:name w:val="Table Grid"/>
    <w:basedOn w:val="TableNormal"/>
    <w:uiPriority w:val="59"/>
    <w:rsid w:val="00036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36E51"/>
    <w:rPr>
      <w:i/>
      <w:iCs/>
    </w:rPr>
  </w:style>
  <w:style w:type="paragraph" w:styleId="BalloonText">
    <w:name w:val="Balloon Text"/>
    <w:basedOn w:val="Normal"/>
    <w:link w:val="BalloonTextChar"/>
    <w:uiPriority w:val="99"/>
    <w:semiHidden/>
    <w:unhideWhenUsed/>
    <w:rsid w:val="000915E0"/>
    <w:rPr>
      <w:rFonts w:ascii="Tahoma" w:hAnsi="Tahoma" w:cs="Tahoma"/>
      <w:sz w:val="16"/>
      <w:szCs w:val="16"/>
    </w:rPr>
  </w:style>
  <w:style w:type="character" w:customStyle="1" w:styleId="BalloonTextChar">
    <w:name w:val="Balloon Text Char"/>
    <w:basedOn w:val="DefaultParagraphFont"/>
    <w:link w:val="BalloonText"/>
    <w:uiPriority w:val="99"/>
    <w:semiHidden/>
    <w:rsid w:val="000915E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C7C23"/>
    <w:rPr>
      <w:sz w:val="16"/>
      <w:szCs w:val="16"/>
    </w:rPr>
  </w:style>
  <w:style w:type="paragraph" w:styleId="CommentText">
    <w:name w:val="annotation text"/>
    <w:basedOn w:val="Normal"/>
    <w:link w:val="CommentTextChar"/>
    <w:uiPriority w:val="99"/>
    <w:semiHidden/>
    <w:unhideWhenUsed/>
    <w:rsid w:val="009C7C23"/>
    <w:rPr>
      <w:sz w:val="20"/>
      <w:szCs w:val="20"/>
    </w:rPr>
  </w:style>
  <w:style w:type="character" w:customStyle="1" w:styleId="CommentTextChar">
    <w:name w:val="Comment Text Char"/>
    <w:basedOn w:val="DefaultParagraphFont"/>
    <w:link w:val="CommentText"/>
    <w:uiPriority w:val="99"/>
    <w:semiHidden/>
    <w:rsid w:val="009C7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C23"/>
    <w:rPr>
      <w:b/>
      <w:bCs/>
    </w:rPr>
  </w:style>
  <w:style w:type="character" w:customStyle="1" w:styleId="CommentSubjectChar">
    <w:name w:val="Comment Subject Char"/>
    <w:basedOn w:val="CommentTextChar"/>
    <w:link w:val="CommentSubject"/>
    <w:uiPriority w:val="99"/>
    <w:semiHidden/>
    <w:rsid w:val="009C7C2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1BC4"/>
    <w:rPr>
      <w:color w:val="0000FF" w:themeColor="hyperlink"/>
      <w:u w:val="single"/>
    </w:rPr>
  </w:style>
  <w:style w:type="paragraph" w:styleId="Header">
    <w:name w:val="header"/>
    <w:basedOn w:val="Normal"/>
    <w:link w:val="HeaderChar"/>
    <w:uiPriority w:val="99"/>
    <w:unhideWhenUsed/>
    <w:rsid w:val="008D6B36"/>
    <w:pPr>
      <w:tabs>
        <w:tab w:val="center" w:pos="4680"/>
        <w:tab w:val="right" w:pos="9360"/>
      </w:tabs>
    </w:pPr>
  </w:style>
  <w:style w:type="character" w:customStyle="1" w:styleId="HeaderChar">
    <w:name w:val="Header Char"/>
    <w:basedOn w:val="DefaultParagraphFont"/>
    <w:link w:val="Header"/>
    <w:uiPriority w:val="99"/>
    <w:rsid w:val="008D6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B36"/>
    <w:pPr>
      <w:tabs>
        <w:tab w:val="center" w:pos="4680"/>
        <w:tab w:val="right" w:pos="9360"/>
      </w:tabs>
    </w:pPr>
  </w:style>
  <w:style w:type="character" w:customStyle="1" w:styleId="FooterChar">
    <w:name w:val="Footer Char"/>
    <w:basedOn w:val="DefaultParagraphFont"/>
    <w:link w:val="Footer"/>
    <w:uiPriority w:val="99"/>
    <w:rsid w:val="008D6B3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26ECC"/>
    <w:rPr>
      <w:rFonts w:ascii="Cambria" w:eastAsia="MS Mincho" w:hAnsi="Cambria"/>
    </w:rPr>
  </w:style>
  <w:style w:type="character" w:customStyle="1" w:styleId="EndnoteTextChar">
    <w:name w:val="Endnote Text Char"/>
    <w:basedOn w:val="DefaultParagraphFont"/>
    <w:link w:val="EndnoteText"/>
    <w:uiPriority w:val="99"/>
    <w:semiHidden/>
    <w:rsid w:val="00226ECC"/>
    <w:rPr>
      <w:rFonts w:ascii="Cambria" w:eastAsia="MS Mincho" w:hAnsi="Cambria" w:cs="Times New Roman"/>
      <w:sz w:val="24"/>
      <w:szCs w:val="24"/>
    </w:rPr>
  </w:style>
  <w:style w:type="character" w:styleId="EndnoteReference">
    <w:name w:val="endnote reference"/>
    <w:uiPriority w:val="99"/>
    <w:semiHidden/>
    <w:unhideWhenUsed/>
    <w:rsid w:val="00226ECC"/>
    <w:rPr>
      <w:vertAlign w:val="superscript"/>
    </w:rPr>
  </w:style>
  <w:style w:type="paragraph" w:styleId="ListBullet">
    <w:name w:val="List Bullet"/>
    <w:basedOn w:val="Normal"/>
    <w:uiPriority w:val="2"/>
    <w:qFormat/>
    <w:rsid w:val="00226ECC"/>
    <w:pPr>
      <w:numPr>
        <w:numId w:val="9"/>
      </w:numPr>
      <w:spacing w:before="120" w:after="120" w:line="259" w:lineRule="auto"/>
    </w:pPr>
    <w:rPr>
      <w:rFonts w:ascii="Cambria" w:eastAsia="Cambria" w:hAnsi="Cambria"/>
      <w:color w:val="404040"/>
      <w:szCs w:val="20"/>
    </w:rPr>
  </w:style>
  <w:style w:type="paragraph" w:styleId="PlainText">
    <w:name w:val="Plain Text"/>
    <w:basedOn w:val="Normal"/>
    <w:link w:val="PlainTextChar"/>
    <w:uiPriority w:val="99"/>
    <w:unhideWhenUsed/>
    <w:rsid w:val="00DA07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A07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5097">
      <w:bodyDiv w:val="1"/>
      <w:marLeft w:val="0"/>
      <w:marRight w:val="0"/>
      <w:marTop w:val="0"/>
      <w:marBottom w:val="0"/>
      <w:divBdr>
        <w:top w:val="none" w:sz="0" w:space="0" w:color="auto"/>
        <w:left w:val="none" w:sz="0" w:space="0" w:color="auto"/>
        <w:bottom w:val="none" w:sz="0" w:space="0" w:color="auto"/>
        <w:right w:val="none" w:sz="0" w:space="0" w:color="auto"/>
      </w:divBdr>
      <w:divsChild>
        <w:div w:id="1527326550">
          <w:marLeft w:val="979"/>
          <w:marRight w:val="0"/>
          <w:marTop w:val="65"/>
          <w:marBottom w:val="0"/>
          <w:divBdr>
            <w:top w:val="none" w:sz="0" w:space="0" w:color="auto"/>
            <w:left w:val="none" w:sz="0" w:space="0" w:color="auto"/>
            <w:bottom w:val="none" w:sz="0" w:space="0" w:color="auto"/>
            <w:right w:val="none" w:sz="0" w:space="0" w:color="auto"/>
          </w:divBdr>
        </w:div>
        <w:div w:id="959605826">
          <w:marLeft w:val="979"/>
          <w:marRight w:val="0"/>
          <w:marTop w:val="65"/>
          <w:marBottom w:val="0"/>
          <w:divBdr>
            <w:top w:val="none" w:sz="0" w:space="0" w:color="auto"/>
            <w:left w:val="none" w:sz="0" w:space="0" w:color="auto"/>
            <w:bottom w:val="none" w:sz="0" w:space="0" w:color="auto"/>
            <w:right w:val="none" w:sz="0" w:space="0" w:color="auto"/>
          </w:divBdr>
        </w:div>
        <w:div w:id="2008819688">
          <w:marLeft w:val="979"/>
          <w:marRight w:val="0"/>
          <w:marTop w:val="65"/>
          <w:marBottom w:val="0"/>
          <w:divBdr>
            <w:top w:val="none" w:sz="0" w:space="0" w:color="auto"/>
            <w:left w:val="none" w:sz="0" w:space="0" w:color="auto"/>
            <w:bottom w:val="none" w:sz="0" w:space="0" w:color="auto"/>
            <w:right w:val="none" w:sz="0" w:space="0" w:color="auto"/>
          </w:divBdr>
        </w:div>
        <w:div w:id="647824007">
          <w:marLeft w:val="979"/>
          <w:marRight w:val="0"/>
          <w:marTop w:val="65"/>
          <w:marBottom w:val="0"/>
          <w:divBdr>
            <w:top w:val="none" w:sz="0" w:space="0" w:color="auto"/>
            <w:left w:val="none" w:sz="0" w:space="0" w:color="auto"/>
            <w:bottom w:val="none" w:sz="0" w:space="0" w:color="auto"/>
            <w:right w:val="none" w:sz="0" w:space="0" w:color="auto"/>
          </w:divBdr>
        </w:div>
        <w:div w:id="1124617323">
          <w:marLeft w:val="979"/>
          <w:marRight w:val="0"/>
          <w:marTop w:val="65"/>
          <w:marBottom w:val="0"/>
          <w:divBdr>
            <w:top w:val="none" w:sz="0" w:space="0" w:color="auto"/>
            <w:left w:val="none" w:sz="0" w:space="0" w:color="auto"/>
            <w:bottom w:val="none" w:sz="0" w:space="0" w:color="auto"/>
            <w:right w:val="none" w:sz="0" w:space="0" w:color="auto"/>
          </w:divBdr>
        </w:div>
        <w:div w:id="735666882">
          <w:marLeft w:val="979"/>
          <w:marRight w:val="0"/>
          <w:marTop w:val="65"/>
          <w:marBottom w:val="0"/>
          <w:divBdr>
            <w:top w:val="none" w:sz="0" w:space="0" w:color="auto"/>
            <w:left w:val="none" w:sz="0" w:space="0" w:color="auto"/>
            <w:bottom w:val="none" w:sz="0" w:space="0" w:color="auto"/>
            <w:right w:val="none" w:sz="0" w:space="0" w:color="auto"/>
          </w:divBdr>
        </w:div>
        <w:div w:id="1105227370">
          <w:marLeft w:val="979"/>
          <w:marRight w:val="0"/>
          <w:marTop w:val="65"/>
          <w:marBottom w:val="0"/>
          <w:divBdr>
            <w:top w:val="none" w:sz="0" w:space="0" w:color="auto"/>
            <w:left w:val="none" w:sz="0" w:space="0" w:color="auto"/>
            <w:bottom w:val="none" w:sz="0" w:space="0" w:color="auto"/>
            <w:right w:val="none" w:sz="0" w:space="0" w:color="auto"/>
          </w:divBdr>
        </w:div>
        <w:div w:id="1442457750">
          <w:marLeft w:val="979"/>
          <w:marRight w:val="0"/>
          <w:marTop w:val="65"/>
          <w:marBottom w:val="0"/>
          <w:divBdr>
            <w:top w:val="none" w:sz="0" w:space="0" w:color="auto"/>
            <w:left w:val="none" w:sz="0" w:space="0" w:color="auto"/>
            <w:bottom w:val="none" w:sz="0" w:space="0" w:color="auto"/>
            <w:right w:val="none" w:sz="0" w:space="0" w:color="auto"/>
          </w:divBdr>
        </w:div>
        <w:div w:id="1821579966">
          <w:marLeft w:val="979"/>
          <w:marRight w:val="0"/>
          <w:marTop w:val="65"/>
          <w:marBottom w:val="0"/>
          <w:divBdr>
            <w:top w:val="none" w:sz="0" w:space="0" w:color="auto"/>
            <w:left w:val="none" w:sz="0" w:space="0" w:color="auto"/>
            <w:bottom w:val="none" w:sz="0" w:space="0" w:color="auto"/>
            <w:right w:val="none" w:sz="0" w:space="0" w:color="auto"/>
          </w:divBdr>
        </w:div>
      </w:divsChild>
    </w:div>
    <w:div w:id="14568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2CE6-87D3-454D-BE29-CFAD0568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2016-04-25T22:56:00Z</cp:lastPrinted>
  <dcterms:created xsi:type="dcterms:W3CDTF">2016-04-25T23:08:00Z</dcterms:created>
  <dcterms:modified xsi:type="dcterms:W3CDTF">2016-04-25T23:08:00Z</dcterms:modified>
</cp:coreProperties>
</file>