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DC" w:rsidRDefault="00BB58DC" w:rsidP="00BD7ADB">
      <w:pPr>
        <w:spacing w:after="0" w:line="240" w:lineRule="auto"/>
        <w:jc w:val="center"/>
        <w:rPr>
          <w:rFonts w:ascii="Bodoni MT Black" w:hAnsi="Bodoni MT Black" w:cs="Times New Roman"/>
          <w:b/>
          <w:sz w:val="28"/>
          <w:szCs w:val="28"/>
        </w:rPr>
      </w:pPr>
      <w:r>
        <w:rPr>
          <w:rFonts w:ascii="Times New Roman" w:hAnsi="Times New Roman" w:cs="Times New Roman"/>
          <w:b/>
          <w:noProof/>
          <w:color w:val="C00000"/>
          <w:sz w:val="24"/>
          <w:szCs w:val="24"/>
          <w:u w:val="single"/>
        </w:rPr>
        <w:drawing>
          <wp:inline distT="0" distB="0" distL="0" distR="0" wp14:anchorId="19FCB1F6" wp14:editId="0E43E75D">
            <wp:extent cx="1228725" cy="1228725"/>
            <wp:effectExtent l="0" t="0" r="9525" b="9525"/>
            <wp:docPr id="5" name="Picture 5" descr="C:\Users\TaylorA.DCGOV\AppData\Local\Microsoft\Windows\Temporary Internet Files\Content.IE5\OJY2KC6A\Community-circ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aylorA.DCGOV\AppData\Local\Microsoft\Windows\Temporary Internet Files\Content.IE5\OJY2KC6A\Community-circl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rsidR="005E69CC" w:rsidRPr="00BB58DC" w:rsidRDefault="005E69CC" w:rsidP="00BD7ADB">
      <w:pPr>
        <w:spacing w:after="0" w:line="240" w:lineRule="auto"/>
        <w:jc w:val="center"/>
        <w:rPr>
          <w:rFonts w:ascii="Forte" w:hAnsi="Forte" w:cs="Times New Roman"/>
          <w:b/>
          <w:sz w:val="40"/>
          <w:szCs w:val="40"/>
        </w:rPr>
      </w:pPr>
      <w:r w:rsidRPr="00BB58DC">
        <w:rPr>
          <w:rFonts w:ascii="Forte" w:hAnsi="Forte" w:cs="Times New Roman"/>
          <w:b/>
          <w:sz w:val="40"/>
          <w:szCs w:val="40"/>
        </w:rPr>
        <w:t>Olmstead</w:t>
      </w:r>
    </w:p>
    <w:p w:rsidR="00BD7ADB" w:rsidRPr="00BB58DC" w:rsidRDefault="002E1C0E" w:rsidP="00BD7ADB">
      <w:pPr>
        <w:spacing w:after="0" w:line="240" w:lineRule="auto"/>
        <w:jc w:val="center"/>
        <w:rPr>
          <w:rFonts w:ascii="Britannic Bold" w:hAnsi="Britannic Bold" w:cs="Times New Roman"/>
          <w:b/>
          <w:sz w:val="28"/>
          <w:szCs w:val="28"/>
        </w:rPr>
      </w:pPr>
      <w:r w:rsidRPr="00BB58DC">
        <w:rPr>
          <w:rFonts w:ascii="Britannic Bold" w:hAnsi="Britannic Bold" w:cs="Times New Roman"/>
          <w:b/>
          <w:sz w:val="28"/>
          <w:szCs w:val="28"/>
        </w:rPr>
        <w:t>DC-One Community for Al</w:t>
      </w:r>
      <w:r w:rsidR="00D11698" w:rsidRPr="00BB58DC">
        <w:rPr>
          <w:rFonts w:ascii="Britannic Bold" w:hAnsi="Britannic Bold" w:cs="Times New Roman"/>
          <w:b/>
          <w:sz w:val="28"/>
          <w:szCs w:val="28"/>
        </w:rPr>
        <w:t>l</w:t>
      </w:r>
    </w:p>
    <w:p w:rsidR="002E1C0E" w:rsidRPr="00BB58DC" w:rsidRDefault="002E1C0E" w:rsidP="00BD7ADB">
      <w:pPr>
        <w:spacing w:after="0" w:line="240" w:lineRule="auto"/>
        <w:jc w:val="center"/>
        <w:rPr>
          <w:rFonts w:ascii="Britannic Bold" w:hAnsi="Britannic Bold" w:cs="Times New Roman"/>
          <w:b/>
          <w:sz w:val="28"/>
          <w:szCs w:val="28"/>
        </w:rPr>
      </w:pPr>
      <w:r w:rsidRPr="00BB58DC">
        <w:rPr>
          <w:rFonts w:ascii="Britannic Bold" w:hAnsi="Britannic Bold" w:cs="Times New Roman"/>
          <w:b/>
          <w:sz w:val="28"/>
          <w:szCs w:val="28"/>
        </w:rPr>
        <w:t>Ca</w:t>
      </w:r>
      <w:r w:rsidR="004D43B5" w:rsidRPr="00BB58DC">
        <w:rPr>
          <w:rFonts w:ascii="Britannic Bold" w:hAnsi="Britannic Bold" w:cs="Times New Roman"/>
          <w:b/>
          <w:sz w:val="28"/>
          <w:szCs w:val="28"/>
        </w:rPr>
        <w:t>lendar Year 2015 Annual Summary</w:t>
      </w:r>
    </w:p>
    <w:p w:rsidR="00BD7ADB" w:rsidRPr="00BD7ADB" w:rsidRDefault="00BD7ADB" w:rsidP="00BD7ADB">
      <w:pPr>
        <w:spacing w:after="0" w:line="240" w:lineRule="auto"/>
        <w:jc w:val="center"/>
        <w:rPr>
          <w:rFonts w:ascii="Times New Roman" w:hAnsi="Times New Roman" w:cs="Times New Roman"/>
          <w:b/>
          <w:sz w:val="24"/>
          <w:szCs w:val="24"/>
        </w:rPr>
      </w:pPr>
    </w:p>
    <w:p w:rsidR="004D43B5" w:rsidRPr="00BD7ADB" w:rsidRDefault="002E1C0E" w:rsidP="00D92755">
      <w:pPr>
        <w:pStyle w:val="ListParagraph"/>
        <w:spacing w:after="0" w:line="240" w:lineRule="auto"/>
        <w:rPr>
          <w:rFonts w:ascii="Times New Roman" w:hAnsi="Times New Roman" w:cs="Times New Roman"/>
          <w:sz w:val="24"/>
          <w:szCs w:val="24"/>
        </w:rPr>
      </w:pPr>
      <w:r w:rsidRPr="00BD7ADB">
        <w:rPr>
          <w:rFonts w:ascii="Times New Roman" w:hAnsi="Times New Roman" w:cs="Times New Roman"/>
          <w:sz w:val="24"/>
          <w:szCs w:val="24"/>
        </w:rPr>
        <w:t>For Calendar Year</w:t>
      </w:r>
      <w:r w:rsidR="00984D2E" w:rsidRPr="00BD7ADB">
        <w:rPr>
          <w:rFonts w:ascii="Times New Roman" w:hAnsi="Times New Roman" w:cs="Times New Roman"/>
          <w:sz w:val="24"/>
          <w:szCs w:val="24"/>
        </w:rPr>
        <w:t xml:space="preserve"> (CY)</w:t>
      </w:r>
      <w:r w:rsidRPr="00BD7ADB">
        <w:rPr>
          <w:rFonts w:ascii="Times New Roman" w:hAnsi="Times New Roman" w:cs="Times New Roman"/>
          <w:sz w:val="24"/>
          <w:szCs w:val="24"/>
        </w:rPr>
        <w:t xml:space="preserve"> 2015,</w:t>
      </w:r>
      <w:r w:rsidR="004D43B5" w:rsidRPr="00BD7ADB">
        <w:rPr>
          <w:rFonts w:ascii="Times New Roman" w:hAnsi="Times New Roman" w:cs="Times New Roman"/>
          <w:sz w:val="24"/>
          <w:szCs w:val="24"/>
        </w:rPr>
        <w:t xml:space="preserve"> the District of Columbia Olmstead Plan and Addendum outlined the following goals:</w:t>
      </w:r>
    </w:p>
    <w:p w:rsidR="004D43B5" w:rsidRPr="00BD7ADB" w:rsidRDefault="004D43B5" w:rsidP="00D92755">
      <w:pPr>
        <w:pStyle w:val="ListParagraph"/>
        <w:spacing w:after="0" w:line="240" w:lineRule="auto"/>
        <w:rPr>
          <w:rFonts w:ascii="Times New Roman" w:hAnsi="Times New Roman" w:cs="Times New Roman"/>
          <w:sz w:val="24"/>
          <w:szCs w:val="24"/>
        </w:rPr>
      </w:pPr>
    </w:p>
    <w:p w:rsidR="004D43B5" w:rsidRPr="00BD7ADB" w:rsidRDefault="00BD7ADB" w:rsidP="00BD7ADB">
      <w:pPr>
        <w:pStyle w:val="ListParagraph"/>
        <w:numPr>
          <w:ilvl w:val="0"/>
          <w:numId w:val="4"/>
        </w:numPr>
        <w:spacing w:after="0" w:line="240" w:lineRule="auto"/>
        <w:rPr>
          <w:rFonts w:ascii="Times New Roman" w:hAnsi="Times New Roman" w:cs="Times New Roman"/>
          <w:sz w:val="24"/>
          <w:szCs w:val="24"/>
        </w:rPr>
      </w:pPr>
      <w:r w:rsidRPr="00BD7ADB">
        <w:rPr>
          <w:rFonts w:ascii="Times New Roman" w:hAnsi="Times New Roman" w:cs="Times New Roman"/>
          <w:sz w:val="24"/>
          <w:szCs w:val="24"/>
        </w:rPr>
        <w:t>T</w:t>
      </w:r>
      <w:r w:rsidR="00984D2E" w:rsidRPr="00BD7ADB">
        <w:rPr>
          <w:rFonts w:ascii="Times New Roman" w:hAnsi="Times New Roman" w:cs="Times New Roman"/>
          <w:sz w:val="24"/>
          <w:szCs w:val="24"/>
        </w:rPr>
        <w:t>he District committed to helping individuals, families, and nursing facilities understand the availability and accessibility of home- and community-based services and supports.</w:t>
      </w:r>
    </w:p>
    <w:p w:rsidR="00984D2E" w:rsidRPr="00BD7ADB" w:rsidRDefault="00984D2E" w:rsidP="00D92755">
      <w:pPr>
        <w:pStyle w:val="ListParagraph"/>
        <w:spacing w:after="0" w:line="240" w:lineRule="auto"/>
        <w:rPr>
          <w:rFonts w:ascii="Times New Roman" w:hAnsi="Times New Roman" w:cs="Times New Roman"/>
          <w:sz w:val="24"/>
          <w:szCs w:val="24"/>
        </w:rPr>
      </w:pPr>
    </w:p>
    <w:p w:rsidR="00984D2E" w:rsidRPr="00BD7ADB" w:rsidRDefault="00984D2E" w:rsidP="00BD7ADB">
      <w:pPr>
        <w:pStyle w:val="ListParagraph"/>
        <w:numPr>
          <w:ilvl w:val="0"/>
          <w:numId w:val="4"/>
        </w:numPr>
        <w:spacing w:after="0" w:line="240" w:lineRule="auto"/>
        <w:rPr>
          <w:rFonts w:ascii="Times New Roman" w:hAnsi="Times New Roman" w:cs="Times New Roman"/>
          <w:sz w:val="24"/>
          <w:szCs w:val="24"/>
        </w:rPr>
      </w:pPr>
      <w:r w:rsidRPr="00BD7ADB">
        <w:rPr>
          <w:rFonts w:ascii="Times New Roman" w:hAnsi="Times New Roman" w:cs="Times New Roman"/>
          <w:sz w:val="24"/>
          <w:szCs w:val="24"/>
        </w:rPr>
        <w:t>The District continued to provide a person-centered approach to assess and facilitate an individual’s desire and ability to transition from the nursing facility to the community, leading to the successful transitions outlined in this report.</w:t>
      </w:r>
    </w:p>
    <w:p w:rsidR="00984D2E" w:rsidRPr="00BD7ADB" w:rsidRDefault="00984D2E" w:rsidP="00D92755">
      <w:pPr>
        <w:pStyle w:val="ListParagraph"/>
        <w:spacing w:after="0" w:line="240" w:lineRule="auto"/>
        <w:rPr>
          <w:rFonts w:ascii="Times New Roman" w:hAnsi="Times New Roman" w:cs="Times New Roman"/>
          <w:sz w:val="24"/>
          <w:szCs w:val="24"/>
        </w:rPr>
      </w:pPr>
    </w:p>
    <w:p w:rsidR="00984D2E" w:rsidRPr="00BD7ADB" w:rsidRDefault="00984D2E" w:rsidP="00BD7ADB">
      <w:pPr>
        <w:pStyle w:val="ListParagraph"/>
        <w:numPr>
          <w:ilvl w:val="0"/>
          <w:numId w:val="4"/>
        </w:numPr>
        <w:spacing w:after="0" w:line="240" w:lineRule="auto"/>
        <w:rPr>
          <w:rFonts w:ascii="Times New Roman" w:hAnsi="Times New Roman" w:cs="Times New Roman"/>
          <w:sz w:val="24"/>
          <w:szCs w:val="24"/>
        </w:rPr>
      </w:pPr>
      <w:r w:rsidRPr="00BD7ADB">
        <w:rPr>
          <w:rFonts w:ascii="Times New Roman" w:hAnsi="Times New Roman" w:cs="Times New Roman"/>
          <w:sz w:val="24"/>
          <w:szCs w:val="24"/>
        </w:rPr>
        <w:t xml:space="preserve">The District reviewed its current informational materials on long-term services and supports and produced new materials for 2016, including materials for nursing facilities to provide to residents on home- and community-based care options. </w:t>
      </w:r>
    </w:p>
    <w:p w:rsidR="00984D2E" w:rsidRPr="00BD7ADB" w:rsidRDefault="00984D2E" w:rsidP="00984D2E">
      <w:pPr>
        <w:spacing w:after="0" w:line="240" w:lineRule="auto"/>
        <w:ind w:left="720"/>
        <w:contextualSpacing/>
        <w:rPr>
          <w:rFonts w:ascii="Times New Roman" w:hAnsi="Times New Roman" w:cs="Times New Roman"/>
          <w:sz w:val="24"/>
          <w:szCs w:val="24"/>
        </w:rPr>
      </w:pPr>
    </w:p>
    <w:p w:rsidR="00984D2E" w:rsidRPr="00BD7ADB" w:rsidRDefault="00984D2E" w:rsidP="00BD7ADB">
      <w:pPr>
        <w:pStyle w:val="ListParagraph"/>
        <w:numPr>
          <w:ilvl w:val="0"/>
          <w:numId w:val="4"/>
        </w:numPr>
        <w:spacing w:after="0" w:line="240" w:lineRule="auto"/>
        <w:rPr>
          <w:rFonts w:ascii="Times New Roman" w:hAnsi="Times New Roman" w:cs="Times New Roman"/>
          <w:sz w:val="24"/>
          <w:szCs w:val="24"/>
        </w:rPr>
      </w:pPr>
      <w:r w:rsidRPr="00BD7ADB">
        <w:rPr>
          <w:rFonts w:ascii="Times New Roman" w:hAnsi="Times New Roman" w:cs="Times New Roman"/>
          <w:sz w:val="24"/>
          <w:szCs w:val="24"/>
        </w:rPr>
        <w:t>The District reviewed its current training processes through the Olmstead Working Group, and tasked the Working Group to come up with a Customer Satisfaction Survey to better evaluate these trainings and processes in 2016.</w:t>
      </w:r>
    </w:p>
    <w:p w:rsidR="00984D2E" w:rsidRPr="00BD7ADB" w:rsidRDefault="00984D2E" w:rsidP="00984D2E">
      <w:pPr>
        <w:ind w:left="720"/>
        <w:contextualSpacing/>
        <w:rPr>
          <w:rFonts w:ascii="Times New Roman" w:hAnsi="Times New Roman" w:cs="Times New Roman"/>
          <w:sz w:val="24"/>
          <w:szCs w:val="24"/>
        </w:rPr>
      </w:pPr>
    </w:p>
    <w:p w:rsidR="00984D2E" w:rsidRPr="00BD7ADB" w:rsidRDefault="00984D2E" w:rsidP="00BD7ADB">
      <w:pPr>
        <w:pStyle w:val="ListParagraph"/>
        <w:numPr>
          <w:ilvl w:val="0"/>
          <w:numId w:val="4"/>
        </w:numPr>
        <w:spacing w:after="0" w:line="240" w:lineRule="auto"/>
        <w:rPr>
          <w:rFonts w:ascii="Times New Roman" w:hAnsi="Times New Roman" w:cs="Times New Roman"/>
          <w:sz w:val="24"/>
          <w:szCs w:val="24"/>
        </w:rPr>
      </w:pPr>
      <w:r w:rsidRPr="00BD7ADB">
        <w:rPr>
          <w:rFonts w:ascii="Times New Roman" w:hAnsi="Times New Roman" w:cs="Times New Roman"/>
          <w:sz w:val="24"/>
          <w:szCs w:val="24"/>
        </w:rPr>
        <w:t xml:space="preserve">In 2015, the District evaluated the need for a prioritization process for the </w:t>
      </w:r>
      <w:r w:rsidR="00BC2053" w:rsidRPr="00BD7ADB">
        <w:rPr>
          <w:rFonts w:ascii="Times New Roman" w:eastAsia="Calibri" w:hAnsi="Times New Roman" w:cs="Times New Roman"/>
          <w:color w:val="000000"/>
          <w:sz w:val="24"/>
          <w:szCs w:val="24"/>
        </w:rPr>
        <w:t xml:space="preserve">Elderly and Persons with Physical Disabilities </w:t>
      </w:r>
      <w:r w:rsidR="00F619F5">
        <w:rPr>
          <w:rFonts w:ascii="Times New Roman" w:eastAsia="Calibri" w:hAnsi="Times New Roman" w:cs="Times New Roman"/>
          <w:color w:val="000000"/>
          <w:sz w:val="24"/>
          <w:szCs w:val="24"/>
        </w:rPr>
        <w:t>(</w:t>
      </w:r>
      <w:r w:rsidRPr="00BD7ADB">
        <w:rPr>
          <w:rFonts w:ascii="Times New Roman" w:hAnsi="Times New Roman" w:cs="Times New Roman"/>
          <w:sz w:val="24"/>
          <w:szCs w:val="24"/>
        </w:rPr>
        <w:t>EPD</w:t>
      </w:r>
      <w:r w:rsidR="00F619F5">
        <w:rPr>
          <w:rFonts w:ascii="Times New Roman" w:hAnsi="Times New Roman" w:cs="Times New Roman"/>
          <w:sz w:val="24"/>
          <w:szCs w:val="24"/>
        </w:rPr>
        <w:t>)</w:t>
      </w:r>
      <w:r w:rsidRPr="00BD7ADB">
        <w:rPr>
          <w:rFonts w:ascii="Times New Roman" w:hAnsi="Times New Roman" w:cs="Times New Roman"/>
          <w:sz w:val="24"/>
          <w:szCs w:val="24"/>
        </w:rPr>
        <w:t xml:space="preserve"> Waiver with interested stakeholders. In 2016, the District will adopt a waiting list policy for the EPD Waiver, which will be developed with interested stakeholders.</w:t>
      </w:r>
    </w:p>
    <w:p w:rsidR="00984D2E" w:rsidRPr="00BD7ADB" w:rsidRDefault="00984D2E" w:rsidP="00D92755">
      <w:pPr>
        <w:pStyle w:val="ListParagraph"/>
        <w:spacing w:after="0" w:line="240" w:lineRule="auto"/>
        <w:rPr>
          <w:rFonts w:ascii="Times New Roman" w:hAnsi="Times New Roman" w:cs="Times New Roman"/>
          <w:sz w:val="24"/>
          <w:szCs w:val="24"/>
        </w:rPr>
      </w:pPr>
    </w:p>
    <w:p w:rsidR="004D43B5" w:rsidRPr="00BD7ADB" w:rsidRDefault="00984D2E" w:rsidP="00BD7ADB">
      <w:pPr>
        <w:pStyle w:val="ListParagraph"/>
        <w:numPr>
          <w:ilvl w:val="0"/>
          <w:numId w:val="4"/>
        </w:numPr>
        <w:spacing w:after="0" w:line="240" w:lineRule="auto"/>
        <w:rPr>
          <w:rFonts w:ascii="Times New Roman" w:hAnsi="Times New Roman" w:cs="Times New Roman"/>
          <w:sz w:val="24"/>
          <w:szCs w:val="24"/>
        </w:rPr>
      </w:pPr>
      <w:r w:rsidRPr="00BD7ADB">
        <w:rPr>
          <w:rFonts w:ascii="Times New Roman" w:hAnsi="Times New Roman" w:cs="Times New Roman"/>
          <w:sz w:val="24"/>
          <w:szCs w:val="24"/>
        </w:rPr>
        <w:t>The District collected and reported data to track the effectiveness of the District’s system of ensuring individuals are in the least restrictive livin</w:t>
      </w:r>
      <w:r w:rsidR="00076277">
        <w:rPr>
          <w:rFonts w:ascii="Times New Roman" w:hAnsi="Times New Roman" w:cs="Times New Roman"/>
          <w:sz w:val="24"/>
          <w:szCs w:val="24"/>
        </w:rPr>
        <w:t>g environment where appropriate</w:t>
      </w:r>
      <w:r w:rsidR="00AA315D">
        <w:rPr>
          <w:rFonts w:ascii="Times New Roman" w:hAnsi="Times New Roman" w:cs="Times New Roman"/>
          <w:sz w:val="24"/>
          <w:szCs w:val="24"/>
        </w:rPr>
        <w:t xml:space="preserve"> (</w:t>
      </w:r>
      <w:r w:rsidRPr="00BD7ADB">
        <w:rPr>
          <w:rFonts w:ascii="Times New Roman" w:hAnsi="Times New Roman" w:cs="Times New Roman"/>
          <w:sz w:val="24"/>
          <w:szCs w:val="24"/>
        </w:rPr>
        <w:t>the individual does not op</w:t>
      </w:r>
      <w:r w:rsidR="00076277">
        <w:rPr>
          <w:rFonts w:ascii="Times New Roman" w:hAnsi="Times New Roman" w:cs="Times New Roman"/>
          <w:sz w:val="24"/>
          <w:szCs w:val="24"/>
        </w:rPr>
        <w:t>pose a less restrictive setting;</w:t>
      </w:r>
      <w:r w:rsidRPr="00BD7ADB">
        <w:rPr>
          <w:rFonts w:ascii="Times New Roman" w:hAnsi="Times New Roman" w:cs="Times New Roman"/>
          <w:sz w:val="24"/>
          <w:szCs w:val="24"/>
        </w:rPr>
        <w:t xml:space="preserve"> </w:t>
      </w:r>
      <w:r w:rsidR="00F619F5">
        <w:rPr>
          <w:rFonts w:ascii="Times New Roman" w:hAnsi="Times New Roman" w:cs="Times New Roman"/>
          <w:sz w:val="24"/>
          <w:szCs w:val="24"/>
        </w:rPr>
        <w:t xml:space="preserve">and </w:t>
      </w:r>
      <w:r w:rsidRPr="00BD7ADB">
        <w:rPr>
          <w:rFonts w:ascii="Times New Roman" w:hAnsi="Times New Roman" w:cs="Times New Roman"/>
          <w:sz w:val="24"/>
          <w:szCs w:val="24"/>
        </w:rPr>
        <w:t>the needed assistance and home- and community-based services can be reasonably accommodated, taking into account the District’s available resources and the needs of others with disabilities</w:t>
      </w:r>
      <w:r w:rsidR="00AA315D">
        <w:rPr>
          <w:rFonts w:ascii="Times New Roman" w:hAnsi="Times New Roman" w:cs="Times New Roman"/>
          <w:sz w:val="24"/>
          <w:szCs w:val="24"/>
        </w:rPr>
        <w:t>)</w:t>
      </w:r>
      <w:r w:rsidRPr="00BD7ADB">
        <w:rPr>
          <w:rFonts w:ascii="Times New Roman" w:hAnsi="Times New Roman" w:cs="Times New Roman"/>
          <w:sz w:val="24"/>
          <w:szCs w:val="24"/>
        </w:rPr>
        <w:t>.</w:t>
      </w:r>
    </w:p>
    <w:p w:rsidR="004D43B5" w:rsidRPr="00BD7ADB" w:rsidRDefault="004D43B5" w:rsidP="004D43B5">
      <w:pPr>
        <w:spacing w:after="0" w:line="240" w:lineRule="auto"/>
        <w:rPr>
          <w:rFonts w:ascii="Times New Roman" w:hAnsi="Times New Roman" w:cs="Times New Roman"/>
          <w:sz w:val="24"/>
          <w:szCs w:val="24"/>
        </w:rPr>
      </w:pPr>
    </w:p>
    <w:p w:rsidR="00BC2053" w:rsidRPr="00BC2053" w:rsidRDefault="00BC2053" w:rsidP="00557A13">
      <w:pPr>
        <w:rPr>
          <w:rFonts w:ascii="Roboto-Regular" w:eastAsia="Times New Roman" w:hAnsi="Roboto-Regular" w:cs="Arial"/>
          <w:sz w:val="20"/>
          <w:szCs w:val="20"/>
          <w:lang w:val="en"/>
        </w:rPr>
      </w:pPr>
      <w:r>
        <w:rPr>
          <w:rFonts w:ascii="Roboto-Regular" w:eastAsia="Times New Roman" w:hAnsi="Roboto-Regular" w:cs="Arial"/>
          <w:noProof/>
          <w:sz w:val="20"/>
          <w:szCs w:val="20"/>
        </w:rPr>
        <w:lastRenderedPageBreak/>
        <w:drawing>
          <wp:inline distT="0" distB="0" distL="0" distR="0" wp14:anchorId="79551992" wp14:editId="50C30141">
            <wp:extent cx="1247775" cy="1184597"/>
            <wp:effectExtent l="0" t="0" r="0" b="0"/>
            <wp:docPr id="1" name="Picture 1" descr="D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A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184597"/>
                    </a:xfrm>
                    <a:prstGeom prst="rect">
                      <a:avLst/>
                    </a:prstGeom>
                    <a:noFill/>
                    <a:ln>
                      <a:noFill/>
                    </a:ln>
                  </pic:spPr>
                </pic:pic>
              </a:graphicData>
            </a:graphic>
          </wp:inline>
        </w:drawing>
      </w:r>
      <w:r w:rsidR="00991B5F" w:rsidRPr="00BD7ADB">
        <w:rPr>
          <w:rFonts w:ascii="Times New Roman" w:hAnsi="Times New Roman" w:cs="Times New Roman"/>
          <w:b/>
          <w:bCs/>
          <w:sz w:val="24"/>
          <w:szCs w:val="24"/>
        </w:rPr>
        <w:t>DC OFFICE ON AGING</w:t>
      </w:r>
      <w:r>
        <w:rPr>
          <w:rFonts w:ascii="Times New Roman" w:hAnsi="Times New Roman" w:cs="Times New Roman"/>
          <w:b/>
          <w:bCs/>
          <w:sz w:val="24"/>
          <w:szCs w:val="24"/>
        </w:rPr>
        <w:t xml:space="preserve"> (DCOA)</w:t>
      </w:r>
    </w:p>
    <w:p w:rsidR="00B42CF4" w:rsidRPr="00BD7ADB" w:rsidRDefault="00B42CF4" w:rsidP="00B42CF4">
      <w:pPr>
        <w:rPr>
          <w:rFonts w:ascii="Times New Roman" w:hAnsi="Times New Roman" w:cs="Times New Roman"/>
          <w:b/>
          <w:sz w:val="24"/>
          <w:szCs w:val="24"/>
          <w:u w:val="single"/>
        </w:rPr>
      </w:pPr>
      <w:r w:rsidRPr="00BD7ADB">
        <w:rPr>
          <w:rFonts w:ascii="Times New Roman" w:hAnsi="Times New Roman" w:cs="Times New Roman"/>
          <w:b/>
          <w:sz w:val="24"/>
          <w:szCs w:val="24"/>
          <w:u w:val="single"/>
        </w:rPr>
        <w:t>DCOA Quantitative Progress Summary</w:t>
      </w:r>
    </w:p>
    <w:p w:rsidR="00B42CF4" w:rsidRPr="00BD7ADB" w:rsidRDefault="00557A13" w:rsidP="00B42CF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DCOA transitioned</w:t>
      </w:r>
      <w:r w:rsidR="00FC323A">
        <w:rPr>
          <w:rFonts w:ascii="Times New Roman" w:eastAsia="Calibri" w:hAnsi="Times New Roman" w:cs="Times New Roman"/>
          <w:b/>
          <w:color w:val="000000"/>
          <w:sz w:val="24"/>
          <w:szCs w:val="24"/>
        </w:rPr>
        <w:t xml:space="preserve"> </w:t>
      </w:r>
      <w:r w:rsidR="0089653C">
        <w:rPr>
          <w:rFonts w:ascii="Times New Roman" w:eastAsia="Calibri" w:hAnsi="Times New Roman" w:cs="Times New Roman"/>
          <w:b/>
          <w:color w:val="000000"/>
          <w:sz w:val="24"/>
          <w:szCs w:val="24"/>
        </w:rPr>
        <w:t>fo</w:t>
      </w:r>
      <w:r w:rsidR="00AA315D">
        <w:rPr>
          <w:rFonts w:ascii="Times New Roman" w:eastAsia="Calibri" w:hAnsi="Times New Roman" w:cs="Times New Roman"/>
          <w:b/>
          <w:color w:val="000000"/>
          <w:sz w:val="24"/>
          <w:szCs w:val="24"/>
        </w:rPr>
        <w:t>rty-nine (49)</w:t>
      </w:r>
      <w:r>
        <w:rPr>
          <w:rFonts w:ascii="Times New Roman" w:eastAsia="Calibri" w:hAnsi="Times New Roman" w:cs="Times New Roman"/>
          <w:b/>
          <w:color w:val="000000"/>
          <w:sz w:val="24"/>
          <w:szCs w:val="24"/>
        </w:rPr>
        <w:t xml:space="preserve"> consumers</w:t>
      </w:r>
      <w:r w:rsidR="00F619F5">
        <w:rPr>
          <w:rFonts w:ascii="Times New Roman" w:eastAsia="Calibri" w:hAnsi="Times New Roman" w:cs="Times New Roman"/>
          <w:b/>
          <w:color w:val="000000"/>
          <w:sz w:val="24"/>
          <w:szCs w:val="24"/>
        </w:rPr>
        <w:t xml:space="preserve"> into the community</w:t>
      </w:r>
      <w:r>
        <w:rPr>
          <w:rFonts w:ascii="Times New Roman" w:eastAsia="Calibri" w:hAnsi="Times New Roman" w:cs="Times New Roman"/>
          <w:b/>
          <w:color w:val="000000"/>
          <w:sz w:val="24"/>
          <w:szCs w:val="24"/>
        </w:rPr>
        <w:t xml:space="preserve">. </w:t>
      </w:r>
      <w:r w:rsidRPr="00557A13">
        <w:rPr>
          <w:rFonts w:ascii="Times New Roman" w:eastAsia="Calibri" w:hAnsi="Times New Roman" w:cs="Times New Roman"/>
          <w:color w:val="000000"/>
          <w:sz w:val="24"/>
          <w:szCs w:val="24"/>
        </w:rPr>
        <w:t>This</w:t>
      </w:r>
      <w:r>
        <w:rPr>
          <w:rFonts w:ascii="Times New Roman" w:eastAsia="Calibri" w:hAnsi="Times New Roman" w:cs="Times New Roman"/>
          <w:b/>
          <w:color w:val="000000"/>
          <w:sz w:val="24"/>
          <w:szCs w:val="24"/>
        </w:rPr>
        <w:t xml:space="preserve"> </w:t>
      </w:r>
      <w:r w:rsidR="00C61E31" w:rsidRPr="00BD7ADB">
        <w:rPr>
          <w:rFonts w:ascii="Times New Roman" w:eastAsia="Calibri" w:hAnsi="Times New Roman" w:cs="Times New Roman"/>
          <w:color w:val="000000"/>
          <w:sz w:val="24"/>
          <w:szCs w:val="24"/>
        </w:rPr>
        <w:t xml:space="preserve">number includes discharges </w:t>
      </w:r>
      <w:r w:rsidR="002E1C0E" w:rsidRPr="00BD7ADB">
        <w:rPr>
          <w:rFonts w:ascii="Times New Roman" w:eastAsia="Calibri" w:hAnsi="Times New Roman" w:cs="Times New Roman"/>
          <w:color w:val="000000"/>
          <w:sz w:val="24"/>
          <w:szCs w:val="24"/>
        </w:rPr>
        <w:t>from nursing homes, hospitals, and long-term care facilities.</w:t>
      </w:r>
      <w:r w:rsidR="00C61E31" w:rsidRPr="00BD7ADB">
        <w:rPr>
          <w:rFonts w:ascii="Times New Roman" w:eastAsia="Calibri" w:hAnsi="Times New Roman" w:cs="Times New Roman"/>
          <w:color w:val="000000"/>
          <w:sz w:val="24"/>
          <w:szCs w:val="24"/>
        </w:rPr>
        <w:tab/>
      </w:r>
    </w:p>
    <w:p w:rsidR="00C61E31" w:rsidRPr="00BD7ADB" w:rsidRDefault="00C61E31" w:rsidP="00B42CF4">
      <w:pPr>
        <w:spacing w:after="0" w:line="240" w:lineRule="auto"/>
        <w:rPr>
          <w:rFonts w:ascii="Times New Roman" w:eastAsia="Calibri" w:hAnsi="Times New Roman" w:cs="Times New Roman"/>
          <w:color w:val="000000"/>
          <w:sz w:val="24"/>
          <w:szCs w:val="24"/>
        </w:rPr>
      </w:pPr>
    </w:p>
    <w:p w:rsidR="00B42CF4" w:rsidRPr="00BD7ADB" w:rsidRDefault="00FC323A" w:rsidP="00BD7ADB">
      <w:pPr>
        <w:pStyle w:val="ListParagraph"/>
        <w:numPr>
          <w:ilvl w:val="0"/>
          <w:numId w:val="8"/>
        </w:num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w:t>
      </w:r>
      <w:r w:rsidR="00B42CF4" w:rsidRPr="00BD7ADB">
        <w:rPr>
          <w:rFonts w:ascii="Times New Roman" w:eastAsia="Calibri" w:hAnsi="Times New Roman" w:cs="Times New Roman"/>
          <w:color w:val="000000"/>
          <w:sz w:val="24"/>
          <w:szCs w:val="24"/>
        </w:rPr>
        <w:t xml:space="preserve">he </w:t>
      </w:r>
      <w:r w:rsidR="00BB58DC" w:rsidRPr="00F619F5">
        <w:rPr>
          <w:rFonts w:ascii="Times New Roman" w:eastAsia="Calibri" w:hAnsi="Times New Roman" w:cs="Times New Roman"/>
          <w:i/>
          <w:color w:val="000000"/>
          <w:sz w:val="24"/>
          <w:szCs w:val="24"/>
        </w:rPr>
        <w:t>Money Follows the Person</w:t>
      </w:r>
      <w:r w:rsidR="00BB58DC">
        <w:rPr>
          <w:rFonts w:ascii="Times New Roman" w:eastAsia="Calibri" w:hAnsi="Times New Roman" w:cs="Times New Roman"/>
          <w:color w:val="000000"/>
          <w:sz w:val="24"/>
          <w:szCs w:val="24"/>
        </w:rPr>
        <w:t xml:space="preserve"> (</w:t>
      </w:r>
      <w:r w:rsidR="00B42CF4" w:rsidRPr="00BD7ADB">
        <w:rPr>
          <w:rFonts w:ascii="Times New Roman" w:eastAsia="Calibri" w:hAnsi="Times New Roman" w:cs="Times New Roman"/>
          <w:color w:val="000000"/>
          <w:sz w:val="24"/>
          <w:szCs w:val="24"/>
        </w:rPr>
        <w:t>MFP</w:t>
      </w:r>
      <w:r w:rsidR="00BB58DC">
        <w:rPr>
          <w:rFonts w:ascii="Times New Roman" w:eastAsia="Calibri" w:hAnsi="Times New Roman" w:cs="Times New Roman"/>
          <w:color w:val="000000"/>
          <w:sz w:val="24"/>
          <w:szCs w:val="24"/>
        </w:rPr>
        <w:t>)</w:t>
      </w:r>
      <w:r w:rsidR="00B42CF4" w:rsidRPr="00BD7ADB">
        <w:rPr>
          <w:rFonts w:ascii="Times New Roman" w:eastAsia="Calibri" w:hAnsi="Times New Roman" w:cs="Times New Roman"/>
          <w:color w:val="000000"/>
          <w:sz w:val="24"/>
          <w:szCs w:val="24"/>
        </w:rPr>
        <w:t xml:space="preserve"> program transitioned thirty-seven (37</w:t>
      </w:r>
      <w:r w:rsidR="00D11698" w:rsidRPr="00BD7ADB">
        <w:rPr>
          <w:rFonts w:ascii="Times New Roman" w:eastAsia="Calibri" w:hAnsi="Times New Roman" w:cs="Times New Roman"/>
          <w:color w:val="000000"/>
          <w:sz w:val="24"/>
          <w:szCs w:val="24"/>
        </w:rPr>
        <w:t>)</w:t>
      </w:r>
      <w:r w:rsidR="00B42CF4" w:rsidRPr="00BD7ADB">
        <w:rPr>
          <w:rFonts w:ascii="Times New Roman" w:eastAsia="Calibri" w:hAnsi="Times New Roman" w:cs="Times New Roman"/>
          <w:color w:val="000000"/>
          <w:sz w:val="24"/>
          <w:szCs w:val="24"/>
        </w:rPr>
        <w:t xml:space="preserve"> residents back into the community, surpassing its goal by </w:t>
      </w:r>
      <w:r w:rsidR="00BD7ADB">
        <w:rPr>
          <w:rFonts w:ascii="Times New Roman" w:eastAsia="Calibri" w:hAnsi="Times New Roman" w:cs="Times New Roman"/>
          <w:color w:val="000000"/>
          <w:sz w:val="24"/>
          <w:szCs w:val="24"/>
        </w:rPr>
        <w:t>seven (</w:t>
      </w:r>
      <w:r w:rsidR="00B42CF4" w:rsidRPr="00BD7ADB">
        <w:rPr>
          <w:rFonts w:ascii="Times New Roman" w:eastAsia="Calibri" w:hAnsi="Times New Roman" w:cs="Times New Roman"/>
          <w:color w:val="000000"/>
          <w:sz w:val="24"/>
          <w:szCs w:val="24"/>
        </w:rPr>
        <w:t>7</w:t>
      </w:r>
      <w:r w:rsidR="00BD7ADB">
        <w:rPr>
          <w:rFonts w:ascii="Times New Roman" w:eastAsia="Calibri" w:hAnsi="Times New Roman" w:cs="Times New Roman"/>
          <w:color w:val="000000"/>
          <w:sz w:val="24"/>
          <w:szCs w:val="24"/>
        </w:rPr>
        <w:t>)</w:t>
      </w:r>
      <w:r w:rsidR="00B42CF4" w:rsidRPr="00BD7ADB">
        <w:rPr>
          <w:rFonts w:ascii="Times New Roman" w:eastAsia="Calibri" w:hAnsi="Times New Roman" w:cs="Times New Roman"/>
          <w:color w:val="000000"/>
          <w:sz w:val="24"/>
          <w:szCs w:val="24"/>
        </w:rPr>
        <w:t xml:space="preserve"> people, and achieving </w:t>
      </w:r>
      <w:r w:rsidR="00BC2053">
        <w:rPr>
          <w:rFonts w:ascii="Times New Roman" w:eastAsia="Calibri" w:hAnsi="Times New Roman" w:cs="Times New Roman"/>
          <w:color w:val="000000"/>
          <w:sz w:val="24"/>
          <w:szCs w:val="24"/>
        </w:rPr>
        <w:t>one hundred twenty three percent (</w:t>
      </w:r>
      <w:r w:rsidR="00B42CF4" w:rsidRPr="00BD7ADB">
        <w:rPr>
          <w:rFonts w:ascii="Times New Roman" w:eastAsia="Calibri" w:hAnsi="Times New Roman" w:cs="Times New Roman"/>
          <w:color w:val="000000"/>
          <w:sz w:val="24"/>
          <w:szCs w:val="24"/>
        </w:rPr>
        <w:t>123%</w:t>
      </w:r>
      <w:r w:rsidR="00BC2053">
        <w:rPr>
          <w:rFonts w:ascii="Times New Roman" w:eastAsia="Calibri" w:hAnsi="Times New Roman" w:cs="Times New Roman"/>
          <w:color w:val="000000"/>
          <w:sz w:val="24"/>
          <w:szCs w:val="24"/>
        </w:rPr>
        <w:t>)</w:t>
      </w:r>
      <w:r w:rsidR="00B42CF4" w:rsidRPr="00BD7ADB">
        <w:rPr>
          <w:rFonts w:ascii="Times New Roman" w:eastAsia="Calibri" w:hAnsi="Times New Roman" w:cs="Times New Roman"/>
          <w:color w:val="000000"/>
          <w:sz w:val="24"/>
          <w:szCs w:val="24"/>
        </w:rPr>
        <w:t xml:space="preserve"> of the goal. </w:t>
      </w:r>
      <w:r w:rsidR="00F619F5">
        <w:rPr>
          <w:rFonts w:ascii="Times New Roman" w:eastAsia="Calibri" w:hAnsi="Times New Roman" w:cs="Times New Roman"/>
          <w:color w:val="000000"/>
          <w:sz w:val="24"/>
          <w:szCs w:val="24"/>
        </w:rPr>
        <w:t xml:space="preserve"> </w:t>
      </w:r>
      <w:r w:rsidR="00B42CF4" w:rsidRPr="00BD7ADB">
        <w:rPr>
          <w:rFonts w:ascii="Times New Roman" w:eastAsia="Calibri" w:hAnsi="Times New Roman" w:cs="Times New Roman"/>
          <w:color w:val="000000"/>
          <w:sz w:val="24"/>
          <w:szCs w:val="24"/>
        </w:rPr>
        <w:t>Non-MFP nursing facility transitions were lower than expected,</w:t>
      </w:r>
      <w:r w:rsidR="002E1C0E" w:rsidRPr="00BD7ADB">
        <w:rPr>
          <w:rFonts w:ascii="Times New Roman" w:eastAsia="Calibri" w:hAnsi="Times New Roman" w:cs="Times New Roman"/>
          <w:color w:val="000000"/>
          <w:sz w:val="24"/>
          <w:szCs w:val="24"/>
        </w:rPr>
        <w:t xml:space="preserve"> and reached </w:t>
      </w:r>
      <w:r w:rsidR="00BC2053">
        <w:rPr>
          <w:rFonts w:ascii="Times New Roman" w:eastAsia="Calibri" w:hAnsi="Times New Roman" w:cs="Times New Roman"/>
          <w:color w:val="000000"/>
          <w:sz w:val="24"/>
          <w:szCs w:val="24"/>
        </w:rPr>
        <w:t>forty (</w:t>
      </w:r>
      <w:r w:rsidR="002E1C0E" w:rsidRPr="00BD7ADB">
        <w:rPr>
          <w:rFonts w:ascii="Times New Roman" w:eastAsia="Calibri" w:hAnsi="Times New Roman" w:cs="Times New Roman"/>
          <w:color w:val="000000"/>
          <w:sz w:val="24"/>
          <w:szCs w:val="24"/>
        </w:rPr>
        <w:t>40%</w:t>
      </w:r>
      <w:r w:rsidR="00BC2053">
        <w:rPr>
          <w:rFonts w:ascii="Times New Roman" w:eastAsia="Calibri" w:hAnsi="Times New Roman" w:cs="Times New Roman"/>
          <w:color w:val="000000"/>
          <w:sz w:val="24"/>
          <w:szCs w:val="24"/>
        </w:rPr>
        <w:t>)</w:t>
      </w:r>
      <w:r w:rsidR="002E1C0E" w:rsidRPr="00BD7ADB">
        <w:rPr>
          <w:rFonts w:ascii="Times New Roman" w:eastAsia="Calibri" w:hAnsi="Times New Roman" w:cs="Times New Roman"/>
          <w:color w:val="000000"/>
          <w:sz w:val="24"/>
          <w:szCs w:val="24"/>
        </w:rPr>
        <w:t xml:space="preserve"> of the goal (twelve</w:t>
      </w:r>
      <w:r w:rsidR="00B42CF4" w:rsidRPr="00BD7ADB">
        <w:rPr>
          <w:rFonts w:ascii="Times New Roman" w:eastAsia="Calibri" w:hAnsi="Times New Roman" w:cs="Times New Roman"/>
          <w:color w:val="000000"/>
          <w:sz w:val="24"/>
          <w:szCs w:val="24"/>
        </w:rPr>
        <w:t xml:space="preserve"> transitions). This variance was largely due to a lower than expected referral rate of non-MFP community transition referrals.   </w:t>
      </w:r>
    </w:p>
    <w:p w:rsidR="00B42CF4" w:rsidRPr="00BD7ADB" w:rsidRDefault="00B42CF4" w:rsidP="00B42CF4">
      <w:pPr>
        <w:spacing w:after="0" w:line="240" w:lineRule="auto"/>
        <w:rPr>
          <w:rFonts w:ascii="Times New Roman" w:eastAsia="Calibri" w:hAnsi="Times New Roman" w:cs="Times New Roman"/>
          <w:color w:val="000000"/>
          <w:sz w:val="24"/>
          <w:szCs w:val="24"/>
        </w:rPr>
      </w:pPr>
    </w:p>
    <w:p w:rsidR="00B42CF4" w:rsidRPr="00BD7ADB" w:rsidRDefault="00B42CF4" w:rsidP="00BD7ADB">
      <w:pPr>
        <w:pStyle w:val="ListParagraph"/>
        <w:numPr>
          <w:ilvl w:val="0"/>
          <w:numId w:val="8"/>
        </w:numPr>
        <w:spacing w:after="0" w:line="240" w:lineRule="auto"/>
        <w:rPr>
          <w:rFonts w:ascii="Times New Roman" w:eastAsia="Calibri" w:hAnsi="Times New Roman" w:cs="Times New Roman"/>
          <w:color w:val="000000"/>
          <w:sz w:val="24"/>
          <w:szCs w:val="24"/>
        </w:rPr>
      </w:pPr>
      <w:r w:rsidRPr="00BD7ADB">
        <w:rPr>
          <w:rFonts w:ascii="Times New Roman" w:eastAsia="Calibri" w:hAnsi="Times New Roman" w:cs="Times New Roman"/>
          <w:color w:val="000000"/>
          <w:sz w:val="24"/>
          <w:szCs w:val="24"/>
        </w:rPr>
        <w:t xml:space="preserve">The hospital discharge numbers were also lower than expected in 2015 due to a programmatic shift from direct service to consultant service on hospital discharges. DCOA offered direct assistance with hospital discharges to </w:t>
      </w:r>
      <w:r w:rsidR="00BC2053">
        <w:rPr>
          <w:rFonts w:ascii="Times New Roman" w:eastAsia="Calibri" w:hAnsi="Times New Roman" w:cs="Times New Roman"/>
          <w:color w:val="000000"/>
          <w:sz w:val="24"/>
          <w:szCs w:val="24"/>
        </w:rPr>
        <w:t>ten (</w:t>
      </w:r>
      <w:r w:rsidRPr="00BD7ADB">
        <w:rPr>
          <w:rFonts w:ascii="Times New Roman" w:eastAsia="Calibri" w:hAnsi="Times New Roman" w:cs="Times New Roman"/>
          <w:color w:val="000000"/>
          <w:sz w:val="24"/>
          <w:szCs w:val="24"/>
        </w:rPr>
        <w:t>10</w:t>
      </w:r>
      <w:r w:rsidR="00BC2053">
        <w:rPr>
          <w:rFonts w:ascii="Times New Roman" w:eastAsia="Calibri" w:hAnsi="Times New Roman" w:cs="Times New Roman"/>
          <w:color w:val="000000"/>
          <w:sz w:val="24"/>
          <w:szCs w:val="24"/>
        </w:rPr>
        <w:t>)</w:t>
      </w:r>
      <w:r w:rsidRPr="00BD7ADB">
        <w:rPr>
          <w:rFonts w:ascii="Times New Roman" w:eastAsia="Calibri" w:hAnsi="Times New Roman" w:cs="Times New Roman"/>
          <w:color w:val="000000"/>
          <w:sz w:val="24"/>
          <w:szCs w:val="24"/>
        </w:rPr>
        <w:t xml:space="preserve"> clients and hospital discharge consultation to </w:t>
      </w:r>
      <w:r w:rsidR="00BC2053">
        <w:rPr>
          <w:rFonts w:ascii="Times New Roman" w:eastAsia="Calibri" w:hAnsi="Times New Roman" w:cs="Times New Roman"/>
          <w:color w:val="000000"/>
          <w:sz w:val="24"/>
          <w:szCs w:val="24"/>
        </w:rPr>
        <w:t>seventeen (</w:t>
      </w:r>
      <w:r w:rsidRPr="00BD7ADB">
        <w:rPr>
          <w:rFonts w:ascii="Times New Roman" w:eastAsia="Calibri" w:hAnsi="Times New Roman" w:cs="Times New Roman"/>
          <w:color w:val="000000"/>
          <w:sz w:val="24"/>
          <w:szCs w:val="24"/>
        </w:rPr>
        <w:t>17</w:t>
      </w:r>
      <w:r w:rsidR="00BC2053">
        <w:rPr>
          <w:rFonts w:ascii="Times New Roman" w:eastAsia="Calibri" w:hAnsi="Times New Roman" w:cs="Times New Roman"/>
          <w:color w:val="000000"/>
          <w:sz w:val="24"/>
          <w:szCs w:val="24"/>
        </w:rPr>
        <w:t>)</w:t>
      </w:r>
      <w:r w:rsidRPr="00BD7ADB">
        <w:rPr>
          <w:rFonts w:ascii="Times New Roman" w:eastAsia="Calibri" w:hAnsi="Times New Roman" w:cs="Times New Roman"/>
          <w:color w:val="000000"/>
          <w:sz w:val="24"/>
          <w:szCs w:val="24"/>
        </w:rPr>
        <w:t xml:space="preserve"> clients (personally, or through their hospital discharge planner, family member, or caregiver). This programmatic change is addressed in more detail below.  </w:t>
      </w:r>
    </w:p>
    <w:p w:rsidR="00B42CF4" w:rsidRPr="00BD7ADB" w:rsidRDefault="00B42CF4" w:rsidP="00B42CF4">
      <w:pPr>
        <w:spacing w:after="0" w:line="240" w:lineRule="auto"/>
        <w:rPr>
          <w:rFonts w:ascii="Times New Roman" w:eastAsia="Times New Roman" w:hAnsi="Times New Roman" w:cs="Times New Roman"/>
          <w:sz w:val="24"/>
          <w:szCs w:val="24"/>
        </w:rPr>
      </w:pPr>
    </w:p>
    <w:p w:rsidR="00B42CF4" w:rsidRPr="00BD7ADB" w:rsidRDefault="00F619F5" w:rsidP="00BD7ADB">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Calibri" w:hAnsi="Times New Roman" w:cs="Times New Roman"/>
          <w:color w:val="000000"/>
          <w:sz w:val="24"/>
          <w:szCs w:val="24"/>
        </w:rPr>
        <w:t xml:space="preserve">DCOA’s efforts were in large part steered by the </w:t>
      </w:r>
      <w:r w:rsidR="00BB58DC">
        <w:rPr>
          <w:rFonts w:ascii="Times New Roman" w:eastAsia="Calibri" w:hAnsi="Times New Roman" w:cs="Times New Roman"/>
          <w:color w:val="000000"/>
          <w:sz w:val="24"/>
          <w:szCs w:val="24"/>
        </w:rPr>
        <w:t>Aging and Disability Resource Center</w:t>
      </w:r>
      <w:r w:rsidR="00B42CF4" w:rsidRPr="00BD7ADB">
        <w:rPr>
          <w:rFonts w:ascii="Times New Roman" w:eastAsia="Calibri" w:hAnsi="Times New Roman" w:cs="Times New Roman"/>
          <w:color w:val="000000"/>
          <w:sz w:val="24"/>
          <w:szCs w:val="24"/>
        </w:rPr>
        <w:t xml:space="preserve">’s </w:t>
      </w:r>
      <w:r w:rsidR="00BB58DC">
        <w:rPr>
          <w:rFonts w:ascii="Times New Roman" w:eastAsia="Calibri" w:hAnsi="Times New Roman" w:cs="Times New Roman"/>
          <w:color w:val="000000"/>
          <w:sz w:val="24"/>
          <w:szCs w:val="24"/>
        </w:rPr>
        <w:t xml:space="preserve">(ARDC) </w:t>
      </w:r>
      <w:r w:rsidR="00B42CF4" w:rsidRPr="00BD7ADB">
        <w:rPr>
          <w:rFonts w:ascii="Times New Roman" w:eastAsia="Calibri" w:hAnsi="Times New Roman" w:cs="Times New Roman"/>
          <w:color w:val="000000"/>
          <w:sz w:val="24"/>
          <w:szCs w:val="24"/>
        </w:rPr>
        <w:t xml:space="preserve">Community Transition </w:t>
      </w:r>
      <w:r>
        <w:rPr>
          <w:rFonts w:ascii="Times New Roman" w:eastAsia="Calibri" w:hAnsi="Times New Roman" w:cs="Times New Roman"/>
          <w:color w:val="000000"/>
          <w:sz w:val="24"/>
          <w:szCs w:val="24"/>
        </w:rPr>
        <w:t>T</w:t>
      </w:r>
      <w:r w:rsidR="00B42CF4" w:rsidRPr="00BD7ADB">
        <w:rPr>
          <w:rFonts w:ascii="Times New Roman" w:eastAsia="Calibri" w:hAnsi="Times New Roman" w:cs="Times New Roman"/>
          <w:color w:val="000000"/>
          <w:sz w:val="24"/>
          <w:szCs w:val="24"/>
        </w:rPr>
        <w:t>eam</w:t>
      </w:r>
      <w:r>
        <w:rPr>
          <w:rFonts w:ascii="Times New Roman" w:eastAsia="Calibri" w:hAnsi="Times New Roman" w:cs="Times New Roman"/>
          <w:color w:val="000000"/>
          <w:sz w:val="24"/>
          <w:szCs w:val="24"/>
        </w:rPr>
        <w:t>.</w:t>
      </w:r>
      <w:r w:rsidR="00B42CF4" w:rsidRPr="00BD7AD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This team </w:t>
      </w:r>
      <w:r w:rsidR="00B42CF4" w:rsidRPr="00BD7ADB">
        <w:rPr>
          <w:rFonts w:ascii="Times New Roman" w:eastAsia="Calibri" w:hAnsi="Times New Roman" w:cs="Times New Roman"/>
          <w:color w:val="000000"/>
          <w:sz w:val="24"/>
          <w:szCs w:val="24"/>
        </w:rPr>
        <w:t xml:space="preserve">includes </w:t>
      </w:r>
      <w:r w:rsidR="002E1C0E" w:rsidRPr="00BD7ADB">
        <w:rPr>
          <w:rFonts w:ascii="Times New Roman" w:eastAsia="Calibri" w:hAnsi="Times New Roman" w:cs="Times New Roman"/>
          <w:color w:val="000000"/>
          <w:sz w:val="24"/>
          <w:szCs w:val="24"/>
        </w:rPr>
        <w:t>fifteen (</w:t>
      </w:r>
      <w:r w:rsidR="00B42CF4" w:rsidRPr="00BD7ADB">
        <w:rPr>
          <w:rFonts w:ascii="Times New Roman" w:eastAsia="Calibri" w:hAnsi="Times New Roman" w:cs="Times New Roman"/>
          <w:color w:val="000000"/>
          <w:sz w:val="24"/>
          <w:szCs w:val="24"/>
        </w:rPr>
        <w:t>15</w:t>
      </w:r>
      <w:r w:rsidR="002E1C0E" w:rsidRPr="00BD7ADB">
        <w:rPr>
          <w:rFonts w:ascii="Times New Roman" w:eastAsia="Calibri" w:hAnsi="Times New Roman" w:cs="Times New Roman"/>
          <w:color w:val="000000"/>
          <w:sz w:val="24"/>
          <w:szCs w:val="24"/>
        </w:rPr>
        <w:t>)</w:t>
      </w:r>
      <w:r w:rsidR="00B42CF4" w:rsidRPr="00BD7ADB">
        <w:rPr>
          <w:rFonts w:ascii="Times New Roman" w:eastAsia="Calibri" w:hAnsi="Times New Roman" w:cs="Times New Roman"/>
          <w:color w:val="000000"/>
          <w:sz w:val="24"/>
          <w:szCs w:val="24"/>
        </w:rPr>
        <w:t xml:space="preserve"> Transition Care professionals, responsible for prescreening customers for program eligibility; informing individuals about the Elderly and Persons with Physical Disabilities (EPD) Waiver; assisting them with enrollment if needed; and conducting options counseling with </w:t>
      </w:r>
      <w:r w:rsidR="00B42CF4" w:rsidRPr="00BD7ADB">
        <w:rPr>
          <w:rFonts w:ascii="Times New Roman" w:eastAsia="Times New Roman" w:hAnsi="Times New Roman" w:cs="Times New Roman"/>
          <w:sz w:val="24"/>
          <w:szCs w:val="24"/>
        </w:rPr>
        <w:t xml:space="preserve">individuals to create a person-centered action plan that maps out the services and provides guidance </w:t>
      </w:r>
      <w:r w:rsidR="00AA315D">
        <w:rPr>
          <w:rFonts w:ascii="Times New Roman" w:eastAsia="Times New Roman" w:hAnsi="Times New Roman" w:cs="Times New Roman"/>
          <w:sz w:val="24"/>
          <w:szCs w:val="24"/>
        </w:rPr>
        <w:t>on</w:t>
      </w:r>
      <w:r w:rsidR="00AA315D" w:rsidRPr="00BD7ADB">
        <w:rPr>
          <w:rFonts w:ascii="Times New Roman" w:eastAsia="Times New Roman" w:hAnsi="Times New Roman" w:cs="Times New Roman"/>
          <w:sz w:val="24"/>
          <w:szCs w:val="24"/>
        </w:rPr>
        <w:t xml:space="preserve"> </w:t>
      </w:r>
      <w:r w:rsidR="00B42CF4" w:rsidRPr="00BD7ADB">
        <w:rPr>
          <w:rFonts w:ascii="Times New Roman" w:eastAsia="Times New Roman" w:hAnsi="Times New Roman" w:cs="Times New Roman"/>
          <w:sz w:val="24"/>
          <w:szCs w:val="24"/>
        </w:rPr>
        <w:t xml:space="preserve">community resources to ensure a successful transition. </w:t>
      </w:r>
    </w:p>
    <w:p w:rsidR="00B42CF4" w:rsidRPr="00BD7ADB" w:rsidRDefault="00B42CF4" w:rsidP="00B42CF4">
      <w:pPr>
        <w:spacing w:after="0" w:line="240" w:lineRule="auto"/>
        <w:rPr>
          <w:rFonts w:ascii="Times New Roman" w:eastAsia="Times New Roman" w:hAnsi="Times New Roman" w:cs="Times New Roman"/>
          <w:sz w:val="24"/>
          <w:szCs w:val="24"/>
        </w:rPr>
      </w:pPr>
    </w:p>
    <w:p w:rsidR="00B42CF4" w:rsidRPr="00BD7ADB" w:rsidRDefault="00B42CF4" w:rsidP="00B42CF4">
      <w:pPr>
        <w:rPr>
          <w:rFonts w:ascii="Times New Roman" w:hAnsi="Times New Roman" w:cs="Times New Roman"/>
          <w:b/>
          <w:sz w:val="24"/>
          <w:szCs w:val="24"/>
          <w:u w:val="single"/>
        </w:rPr>
      </w:pPr>
      <w:r w:rsidRPr="00BD7ADB">
        <w:rPr>
          <w:rFonts w:ascii="Times New Roman" w:hAnsi="Times New Roman" w:cs="Times New Roman"/>
          <w:b/>
          <w:sz w:val="24"/>
          <w:szCs w:val="24"/>
          <w:u w:val="single"/>
        </w:rPr>
        <w:t>DCOA Qualitative Progress Summary</w:t>
      </w:r>
    </w:p>
    <w:p w:rsidR="00772FA1" w:rsidRDefault="00772FA1" w:rsidP="002054E8">
      <w:pPr>
        <w:pStyle w:val="ListParagraph"/>
        <w:numPr>
          <w:ilvl w:val="0"/>
          <w:numId w:val="9"/>
        </w:numPr>
        <w:spacing w:after="0" w:line="240" w:lineRule="auto"/>
        <w:rPr>
          <w:rFonts w:ascii="Times New Roman" w:eastAsia="Calibri" w:hAnsi="Times New Roman" w:cs="Times New Roman"/>
          <w:color w:val="000000"/>
          <w:sz w:val="24"/>
          <w:szCs w:val="24"/>
        </w:rPr>
      </w:pPr>
      <w:r w:rsidRPr="00FC323A">
        <w:rPr>
          <w:rFonts w:ascii="Times New Roman" w:eastAsia="Calibri" w:hAnsi="Times New Roman" w:cs="Times New Roman"/>
          <w:color w:val="000000"/>
          <w:sz w:val="24"/>
          <w:szCs w:val="24"/>
        </w:rPr>
        <w:t>DCOA has improved access to community-based long-term supports for DC residents through a memorandum of understanding (MOU) with the Departmen</w:t>
      </w:r>
      <w:r w:rsidR="00BB58DC" w:rsidRPr="00FC323A">
        <w:rPr>
          <w:rFonts w:ascii="Times New Roman" w:eastAsia="Calibri" w:hAnsi="Times New Roman" w:cs="Times New Roman"/>
          <w:color w:val="000000"/>
          <w:sz w:val="24"/>
          <w:szCs w:val="24"/>
        </w:rPr>
        <w:t>t of Health Care Finance (DHCF</w:t>
      </w:r>
      <w:r w:rsidR="00FC323A">
        <w:rPr>
          <w:rFonts w:ascii="Times New Roman" w:eastAsia="Calibri" w:hAnsi="Times New Roman" w:cs="Times New Roman"/>
          <w:color w:val="000000"/>
          <w:sz w:val="24"/>
          <w:szCs w:val="24"/>
        </w:rPr>
        <w:t>)</w:t>
      </w:r>
      <w:r w:rsidR="00076277">
        <w:rPr>
          <w:rFonts w:ascii="Times New Roman" w:eastAsia="Calibri" w:hAnsi="Times New Roman" w:cs="Times New Roman"/>
          <w:color w:val="000000"/>
          <w:sz w:val="24"/>
          <w:szCs w:val="24"/>
        </w:rPr>
        <w:t>.</w:t>
      </w:r>
    </w:p>
    <w:p w:rsidR="00076277" w:rsidRPr="00FC323A" w:rsidRDefault="00076277" w:rsidP="00076277">
      <w:pPr>
        <w:pStyle w:val="ListParagraph"/>
        <w:spacing w:after="0" w:line="240" w:lineRule="auto"/>
        <w:rPr>
          <w:rFonts w:ascii="Times New Roman" w:eastAsia="Calibri" w:hAnsi="Times New Roman" w:cs="Times New Roman"/>
          <w:color w:val="000000"/>
          <w:sz w:val="24"/>
          <w:szCs w:val="24"/>
        </w:rPr>
      </w:pPr>
    </w:p>
    <w:p w:rsidR="00772FA1" w:rsidRPr="002054E8" w:rsidRDefault="00076277" w:rsidP="002054E8">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Calibri" w:hAnsi="Times New Roman" w:cs="Times New Roman"/>
          <w:color w:val="000000"/>
          <w:sz w:val="24"/>
          <w:szCs w:val="24"/>
        </w:rPr>
        <w:t xml:space="preserve"> The MOU</w:t>
      </w:r>
      <w:r w:rsidR="00772FA1" w:rsidRPr="002054E8">
        <w:rPr>
          <w:rFonts w:ascii="Times New Roman" w:eastAsia="Calibri" w:hAnsi="Times New Roman" w:cs="Times New Roman"/>
          <w:color w:val="000000"/>
          <w:sz w:val="24"/>
          <w:szCs w:val="24"/>
        </w:rPr>
        <w:t xml:space="preserve"> resulted in the creation of a new Medicaid Enrollment Team,</w:t>
      </w:r>
      <w:r w:rsidR="00FC323A">
        <w:rPr>
          <w:rFonts w:ascii="Times New Roman" w:eastAsia="Calibri" w:hAnsi="Times New Roman" w:cs="Times New Roman"/>
          <w:color w:val="000000"/>
          <w:sz w:val="24"/>
          <w:szCs w:val="24"/>
        </w:rPr>
        <w:t xml:space="preserve"> created to improve customer service and </w:t>
      </w:r>
      <w:r w:rsidR="004F29D7">
        <w:rPr>
          <w:rFonts w:ascii="Times New Roman" w:eastAsia="Calibri" w:hAnsi="Times New Roman" w:cs="Times New Roman"/>
          <w:color w:val="000000"/>
          <w:sz w:val="24"/>
          <w:szCs w:val="24"/>
        </w:rPr>
        <w:t xml:space="preserve">decrease </w:t>
      </w:r>
      <w:r w:rsidR="00AA315D">
        <w:rPr>
          <w:rFonts w:ascii="Times New Roman" w:eastAsia="Calibri" w:hAnsi="Times New Roman" w:cs="Times New Roman"/>
          <w:color w:val="000000"/>
          <w:sz w:val="24"/>
          <w:szCs w:val="24"/>
        </w:rPr>
        <w:t xml:space="preserve">wait </w:t>
      </w:r>
      <w:r w:rsidR="004F29D7">
        <w:rPr>
          <w:rFonts w:ascii="Times New Roman" w:eastAsia="Calibri" w:hAnsi="Times New Roman" w:cs="Times New Roman"/>
          <w:color w:val="000000"/>
          <w:sz w:val="24"/>
          <w:szCs w:val="24"/>
        </w:rPr>
        <w:t>times</w:t>
      </w:r>
      <w:r w:rsidR="00AA315D">
        <w:rPr>
          <w:rFonts w:ascii="Times New Roman" w:eastAsia="Calibri" w:hAnsi="Times New Roman" w:cs="Times New Roman"/>
          <w:color w:val="000000"/>
          <w:sz w:val="24"/>
          <w:szCs w:val="24"/>
        </w:rPr>
        <w:t xml:space="preserve"> for waiver enrollment</w:t>
      </w:r>
      <w:r w:rsidR="004F29D7">
        <w:rPr>
          <w:rFonts w:ascii="Times New Roman" w:eastAsia="Calibri" w:hAnsi="Times New Roman" w:cs="Times New Roman"/>
          <w:color w:val="000000"/>
          <w:sz w:val="24"/>
          <w:szCs w:val="24"/>
        </w:rPr>
        <w:t>,</w:t>
      </w:r>
      <w:r w:rsidR="00772FA1" w:rsidRPr="002054E8">
        <w:rPr>
          <w:rFonts w:ascii="Times New Roman" w:eastAsia="Calibri" w:hAnsi="Times New Roman" w:cs="Times New Roman"/>
          <w:color w:val="000000"/>
          <w:sz w:val="24"/>
          <w:szCs w:val="24"/>
        </w:rPr>
        <w:t xml:space="preserve"> based at DCOA and funded by DHCF. </w:t>
      </w:r>
      <w:r w:rsidR="00F619F5">
        <w:rPr>
          <w:rFonts w:ascii="Times New Roman" w:eastAsia="Calibri" w:hAnsi="Times New Roman" w:cs="Times New Roman"/>
          <w:color w:val="000000"/>
          <w:sz w:val="24"/>
          <w:szCs w:val="24"/>
        </w:rPr>
        <w:t xml:space="preserve"> </w:t>
      </w:r>
      <w:r w:rsidR="00772FA1" w:rsidRPr="002054E8">
        <w:rPr>
          <w:rFonts w:ascii="Times New Roman" w:eastAsia="Calibri" w:hAnsi="Times New Roman" w:cs="Times New Roman"/>
          <w:color w:val="000000"/>
          <w:sz w:val="24"/>
          <w:szCs w:val="24"/>
        </w:rPr>
        <w:t xml:space="preserve">To staff the new team, DCOA hired </w:t>
      </w:r>
      <w:r w:rsidR="00772FA1" w:rsidRPr="002054E8">
        <w:rPr>
          <w:rFonts w:ascii="Times New Roman" w:eastAsia="Times New Roman" w:hAnsi="Times New Roman" w:cs="Times New Roman"/>
          <w:sz w:val="24"/>
          <w:szCs w:val="24"/>
        </w:rPr>
        <w:t xml:space="preserve">seven </w:t>
      </w:r>
      <w:r w:rsidR="002054E8">
        <w:rPr>
          <w:rFonts w:ascii="Times New Roman" w:eastAsia="Times New Roman" w:hAnsi="Times New Roman" w:cs="Times New Roman"/>
          <w:sz w:val="24"/>
          <w:szCs w:val="24"/>
        </w:rPr>
        <w:t xml:space="preserve">(7) </w:t>
      </w:r>
      <w:r w:rsidR="00772FA1" w:rsidRPr="002054E8">
        <w:rPr>
          <w:rFonts w:ascii="Times New Roman" w:eastAsia="Times New Roman" w:hAnsi="Times New Roman" w:cs="Times New Roman"/>
          <w:sz w:val="24"/>
          <w:szCs w:val="24"/>
        </w:rPr>
        <w:t xml:space="preserve">new staff members who started in May 2015, including:  </w:t>
      </w:r>
      <w:r w:rsidR="002054E8">
        <w:rPr>
          <w:rFonts w:ascii="Times New Roman" w:eastAsia="Times New Roman" w:hAnsi="Times New Roman" w:cs="Times New Roman"/>
          <w:sz w:val="24"/>
          <w:szCs w:val="24"/>
        </w:rPr>
        <w:t>five (</w:t>
      </w:r>
      <w:r w:rsidR="00772FA1" w:rsidRPr="002054E8">
        <w:rPr>
          <w:rFonts w:ascii="Times New Roman" w:eastAsia="Times New Roman" w:hAnsi="Times New Roman" w:cs="Times New Roman"/>
          <w:sz w:val="24"/>
          <w:szCs w:val="24"/>
        </w:rPr>
        <w:t>5</w:t>
      </w:r>
      <w:r w:rsidR="002054E8">
        <w:rPr>
          <w:rFonts w:ascii="Times New Roman" w:eastAsia="Times New Roman" w:hAnsi="Times New Roman" w:cs="Times New Roman"/>
          <w:sz w:val="24"/>
          <w:szCs w:val="24"/>
        </w:rPr>
        <w:t>)</w:t>
      </w:r>
      <w:r w:rsidR="00772FA1" w:rsidRPr="002054E8">
        <w:rPr>
          <w:rFonts w:ascii="Times New Roman" w:eastAsia="Times New Roman" w:hAnsi="Times New Roman" w:cs="Times New Roman"/>
          <w:sz w:val="24"/>
          <w:szCs w:val="24"/>
        </w:rPr>
        <w:t xml:space="preserve"> Medicaid Enrollment Specialists, </w:t>
      </w:r>
      <w:r w:rsidR="002054E8">
        <w:rPr>
          <w:rFonts w:ascii="Times New Roman" w:eastAsia="Times New Roman" w:hAnsi="Times New Roman" w:cs="Times New Roman"/>
          <w:sz w:val="24"/>
          <w:szCs w:val="24"/>
        </w:rPr>
        <w:t>one (</w:t>
      </w:r>
      <w:r w:rsidR="00772FA1" w:rsidRPr="002054E8">
        <w:rPr>
          <w:rFonts w:ascii="Times New Roman" w:eastAsia="Times New Roman" w:hAnsi="Times New Roman" w:cs="Times New Roman"/>
          <w:sz w:val="24"/>
          <w:szCs w:val="24"/>
        </w:rPr>
        <w:t>1</w:t>
      </w:r>
      <w:r w:rsidR="002054E8">
        <w:rPr>
          <w:rFonts w:ascii="Times New Roman" w:eastAsia="Times New Roman" w:hAnsi="Times New Roman" w:cs="Times New Roman"/>
          <w:sz w:val="24"/>
          <w:szCs w:val="24"/>
        </w:rPr>
        <w:t>)</w:t>
      </w:r>
      <w:r w:rsidR="00772FA1" w:rsidRPr="002054E8">
        <w:rPr>
          <w:rFonts w:ascii="Times New Roman" w:eastAsia="Times New Roman" w:hAnsi="Times New Roman" w:cs="Times New Roman"/>
          <w:sz w:val="24"/>
          <w:szCs w:val="24"/>
        </w:rPr>
        <w:t xml:space="preserve"> Medicaid Lead, and </w:t>
      </w:r>
      <w:r w:rsidR="002054E8">
        <w:rPr>
          <w:rFonts w:ascii="Times New Roman" w:eastAsia="Times New Roman" w:hAnsi="Times New Roman" w:cs="Times New Roman"/>
          <w:sz w:val="24"/>
          <w:szCs w:val="24"/>
        </w:rPr>
        <w:t>one (</w:t>
      </w:r>
      <w:r w:rsidR="00772FA1" w:rsidRPr="002054E8">
        <w:rPr>
          <w:rFonts w:ascii="Times New Roman" w:eastAsia="Times New Roman" w:hAnsi="Times New Roman" w:cs="Times New Roman"/>
          <w:sz w:val="24"/>
          <w:szCs w:val="24"/>
        </w:rPr>
        <w:t>1</w:t>
      </w:r>
      <w:r w:rsidR="002054E8">
        <w:rPr>
          <w:rFonts w:ascii="Times New Roman" w:eastAsia="Times New Roman" w:hAnsi="Times New Roman" w:cs="Times New Roman"/>
          <w:sz w:val="24"/>
          <w:szCs w:val="24"/>
        </w:rPr>
        <w:t>)</w:t>
      </w:r>
      <w:r w:rsidR="00772FA1" w:rsidRPr="002054E8">
        <w:rPr>
          <w:rFonts w:ascii="Times New Roman" w:eastAsia="Times New Roman" w:hAnsi="Times New Roman" w:cs="Times New Roman"/>
          <w:sz w:val="24"/>
          <w:szCs w:val="24"/>
        </w:rPr>
        <w:t xml:space="preserve"> Community Social Work Supervisor, to take over pre-</w:t>
      </w:r>
      <w:r w:rsidR="00772FA1" w:rsidRPr="002054E8">
        <w:rPr>
          <w:rFonts w:ascii="Times New Roman" w:eastAsia="Times New Roman" w:hAnsi="Times New Roman" w:cs="Times New Roman"/>
          <w:sz w:val="24"/>
          <w:szCs w:val="24"/>
        </w:rPr>
        <w:lastRenderedPageBreak/>
        <w:t xml:space="preserve">eligibility enrollment activities formerly tasked to the Elderly and Persons with Disabilities (EPD) Case Management Agencies, also DHCF providers. </w:t>
      </w:r>
    </w:p>
    <w:p w:rsidR="00772FA1" w:rsidRPr="00BD7ADB" w:rsidRDefault="00772FA1" w:rsidP="002054E8">
      <w:pPr>
        <w:spacing w:after="0" w:line="240" w:lineRule="auto"/>
        <w:rPr>
          <w:rFonts w:ascii="Times New Roman" w:eastAsia="Times New Roman" w:hAnsi="Times New Roman" w:cs="Times New Roman"/>
          <w:sz w:val="24"/>
          <w:szCs w:val="24"/>
        </w:rPr>
      </w:pPr>
    </w:p>
    <w:p w:rsidR="00772FA1" w:rsidRPr="002054E8" w:rsidRDefault="00772FA1" w:rsidP="002054E8">
      <w:pPr>
        <w:pStyle w:val="ListParagraph"/>
        <w:numPr>
          <w:ilvl w:val="0"/>
          <w:numId w:val="9"/>
        </w:numPr>
        <w:spacing w:after="0" w:line="240" w:lineRule="auto"/>
        <w:rPr>
          <w:rFonts w:ascii="Times New Roman" w:eastAsia="Times New Roman" w:hAnsi="Times New Roman" w:cs="Times New Roman"/>
          <w:sz w:val="24"/>
          <w:szCs w:val="24"/>
        </w:rPr>
      </w:pPr>
      <w:r w:rsidRPr="002054E8">
        <w:rPr>
          <w:rFonts w:ascii="Times New Roman" w:eastAsia="Times New Roman" w:hAnsi="Times New Roman" w:cs="Times New Roman"/>
          <w:sz w:val="24"/>
          <w:szCs w:val="24"/>
        </w:rPr>
        <w:t xml:space="preserve">DCOA continued to work with DHCF to finalize the enrollment procedure for Adult Day Health Program (ADHP) services, including people on home and community based waivers (EPD and IDD).  The ADRC was tasked by DHCF with completing Person Centered Plans for </w:t>
      </w:r>
      <w:r w:rsidR="002054E8">
        <w:rPr>
          <w:rFonts w:ascii="Times New Roman" w:eastAsia="Times New Roman" w:hAnsi="Times New Roman" w:cs="Times New Roman"/>
          <w:sz w:val="24"/>
          <w:szCs w:val="24"/>
        </w:rPr>
        <w:t>one hundred one (</w:t>
      </w:r>
      <w:r w:rsidRPr="002054E8">
        <w:rPr>
          <w:rFonts w:ascii="Times New Roman" w:eastAsia="Times New Roman" w:hAnsi="Times New Roman" w:cs="Times New Roman"/>
          <w:sz w:val="24"/>
          <w:szCs w:val="24"/>
        </w:rPr>
        <w:t>101</w:t>
      </w:r>
      <w:r w:rsidR="002054E8">
        <w:rPr>
          <w:rFonts w:ascii="Times New Roman" w:eastAsia="Times New Roman" w:hAnsi="Times New Roman" w:cs="Times New Roman"/>
          <w:sz w:val="24"/>
          <w:szCs w:val="24"/>
        </w:rPr>
        <w:t>)</w:t>
      </w:r>
      <w:r w:rsidRPr="002054E8">
        <w:rPr>
          <w:rFonts w:ascii="Times New Roman" w:eastAsia="Times New Roman" w:hAnsi="Times New Roman" w:cs="Times New Roman"/>
          <w:sz w:val="24"/>
          <w:szCs w:val="24"/>
        </w:rPr>
        <w:t xml:space="preserve"> District residents prior to the end of 2015, to ensure that these Medicaid beneficiaries were able to continue attending their Medicaid-Funded ADHP in 2016. </w:t>
      </w:r>
      <w:r w:rsidR="002054E8">
        <w:rPr>
          <w:rFonts w:ascii="Times New Roman" w:eastAsia="Times New Roman" w:hAnsi="Times New Roman" w:cs="Times New Roman"/>
          <w:sz w:val="24"/>
          <w:szCs w:val="24"/>
        </w:rPr>
        <w:t xml:space="preserve"> </w:t>
      </w:r>
      <w:r w:rsidRPr="002054E8">
        <w:rPr>
          <w:rFonts w:ascii="Times New Roman" w:eastAsia="Times New Roman" w:hAnsi="Times New Roman" w:cs="Times New Roman"/>
          <w:sz w:val="24"/>
          <w:szCs w:val="24"/>
        </w:rPr>
        <w:t xml:space="preserve">Each of the residents was contacted by ADRC staff, in-person visits were completed, and required documentation was submitted to the DHCF by close of business on 12/31/15. Thirteen </w:t>
      </w:r>
      <w:r w:rsidR="002054E8">
        <w:rPr>
          <w:rFonts w:ascii="Times New Roman" w:eastAsia="Times New Roman" w:hAnsi="Times New Roman" w:cs="Times New Roman"/>
          <w:sz w:val="24"/>
          <w:szCs w:val="24"/>
        </w:rPr>
        <w:t xml:space="preserve">(13) </w:t>
      </w:r>
      <w:r w:rsidRPr="002054E8">
        <w:rPr>
          <w:rFonts w:ascii="Times New Roman" w:eastAsia="Times New Roman" w:hAnsi="Times New Roman" w:cs="Times New Roman"/>
          <w:sz w:val="24"/>
          <w:szCs w:val="24"/>
        </w:rPr>
        <w:t xml:space="preserve">of the referred residents decided they were no longer interested in attending ADHP. </w:t>
      </w:r>
      <w:r w:rsidR="002054E8">
        <w:rPr>
          <w:rFonts w:ascii="Times New Roman" w:eastAsia="Times New Roman" w:hAnsi="Times New Roman" w:cs="Times New Roman"/>
          <w:sz w:val="24"/>
          <w:szCs w:val="24"/>
        </w:rPr>
        <w:t xml:space="preserve"> </w:t>
      </w:r>
      <w:r w:rsidRPr="002054E8">
        <w:rPr>
          <w:rFonts w:ascii="Times New Roman" w:eastAsia="Times New Roman" w:hAnsi="Times New Roman" w:cs="Times New Roman"/>
          <w:sz w:val="24"/>
          <w:szCs w:val="24"/>
        </w:rPr>
        <w:t>Since the summer of 2015, ADRC has been working closely with the DHCF to create an efficient ADHP enrollment process so DC residents receiving State Plan Medicaid who request, and are eligible for ADHP services, are able to enroll in a timely manner. Continuing into 2016, ADRC will work with DHCF on providing accurate information about this program and enrollment process to ADHP providers, ADRC staff, DCOA’s Senior Service Network, members of the public, and other key stakeholders.</w:t>
      </w:r>
    </w:p>
    <w:p w:rsidR="00772FA1" w:rsidRPr="00BD7ADB" w:rsidRDefault="00772FA1" w:rsidP="002054E8">
      <w:pPr>
        <w:spacing w:after="0" w:line="240" w:lineRule="auto"/>
        <w:rPr>
          <w:rFonts w:ascii="Times New Roman" w:eastAsia="Times New Roman" w:hAnsi="Times New Roman" w:cs="Times New Roman"/>
          <w:sz w:val="24"/>
          <w:szCs w:val="24"/>
        </w:rPr>
      </w:pPr>
    </w:p>
    <w:p w:rsidR="00772FA1" w:rsidRPr="002054E8" w:rsidRDefault="00076277" w:rsidP="002054E8">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DCOA</w:t>
      </w:r>
      <w:r w:rsidR="00CB74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continued</w:t>
      </w:r>
      <w:r w:rsidR="00772FA1" w:rsidRPr="002054E8">
        <w:rPr>
          <w:rFonts w:ascii="Times New Roman" w:eastAsia="Times New Roman" w:hAnsi="Times New Roman" w:cs="Times New Roman"/>
          <w:sz w:val="24"/>
          <w:szCs w:val="24"/>
        </w:rPr>
        <w:t xml:space="preserve"> to collaborate and partner with the Veterans Administration (VA) Medical Center and VA Resource Center to assist D.C. veterans who are over 65 years old and/or have physical disabilities, in accessing person-centered, home and community-based services and supports. The ADRC team assists VA residents to connect to Friendship Place, a Veterans First Program; and Volunteers of America to seek housing placement, as well as other home and community-based services and supports. </w:t>
      </w:r>
    </w:p>
    <w:p w:rsidR="00772FA1" w:rsidRPr="00BD7ADB" w:rsidRDefault="00772FA1" w:rsidP="002054E8">
      <w:pPr>
        <w:spacing w:after="0" w:line="240" w:lineRule="auto"/>
        <w:rPr>
          <w:rFonts w:ascii="Times New Roman" w:eastAsia="Calibri" w:hAnsi="Times New Roman" w:cs="Times New Roman"/>
          <w:color w:val="000000"/>
          <w:sz w:val="24"/>
          <w:szCs w:val="24"/>
        </w:rPr>
      </w:pPr>
    </w:p>
    <w:p w:rsidR="00772FA1" w:rsidRPr="002054E8" w:rsidRDefault="00772FA1" w:rsidP="002054E8">
      <w:pPr>
        <w:pStyle w:val="ListParagraph"/>
        <w:numPr>
          <w:ilvl w:val="0"/>
          <w:numId w:val="9"/>
        </w:numPr>
        <w:spacing w:after="0" w:line="240" w:lineRule="auto"/>
        <w:rPr>
          <w:rFonts w:ascii="Times New Roman" w:eastAsia="Times New Roman" w:hAnsi="Times New Roman" w:cs="Times New Roman"/>
          <w:sz w:val="24"/>
          <w:szCs w:val="24"/>
        </w:rPr>
      </w:pPr>
      <w:r w:rsidRPr="002054E8">
        <w:rPr>
          <w:rFonts w:ascii="Times New Roman" w:eastAsia="Calibri" w:hAnsi="Times New Roman" w:cs="Times New Roman"/>
          <w:color w:val="000000"/>
          <w:sz w:val="24"/>
          <w:szCs w:val="24"/>
        </w:rPr>
        <w:t xml:space="preserve">Additional DCOA partnerships that ADRC transition staff work closely with to ensure safe and successful transitions include: </w:t>
      </w:r>
      <w:r w:rsidRPr="002054E8">
        <w:rPr>
          <w:rFonts w:ascii="Times New Roman" w:eastAsia="Times New Roman" w:hAnsi="Times New Roman" w:cs="Times New Roman"/>
          <w:sz w:val="24"/>
          <w:szCs w:val="24"/>
        </w:rPr>
        <w:t xml:space="preserve">Washington Hospital Center Mental Health, Psychiatric Institute of Washington, Adult Protective Services, and several of DCOA’s grantees, Lead Agencies in each of DC’s 8 Wards: Terrific Inc. (Wards 1, 2, 4), Seabury (Wards 5 and 6), Iona Senior Services (Ward 3), East of the River Family Strengthening Collaborative (Ward 7), and Family Matters of Greater Washington (Ward 8). Other key community organizations that frequently assist the transition process include: the Medical House Calls Program, Home Care Partners, Living at Home Consultation, </w:t>
      </w:r>
      <w:proofErr w:type="gramStart"/>
      <w:r w:rsidRPr="002054E8">
        <w:rPr>
          <w:rFonts w:ascii="Times New Roman" w:eastAsia="Times New Roman" w:hAnsi="Times New Roman" w:cs="Times New Roman"/>
          <w:sz w:val="24"/>
          <w:szCs w:val="24"/>
        </w:rPr>
        <w:t>LLC.,</w:t>
      </w:r>
      <w:proofErr w:type="gramEnd"/>
      <w:r w:rsidRPr="002054E8">
        <w:rPr>
          <w:rFonts w:ascii="Times New Roman" w:eastAsia="Times New Roman" w:hAnsi="Times New Roman" w:cs="Times New Roman"/>
          <w:sz w:val="24"/>
          <w:szCs w:val="24"/>
        </w:rPr>
        <w:t xml:space="preserve"> Legal Counsel for the Elderly, D.C. LTC Ombudsman Program, and the Health Care Ombudsman and Bill of Rights program</w:t>
      </w:r>
      <w:r w:rsidR="00B501A6">
        <w:rPr>
          <w:rFonts w:ascii="Times New Roman" w:eastAsia="Times New Roman" w:hAnsi="Times New Roman" w:cs="Times New Roman"/>
          <w:sz w:val="24"/>
          <w:szCs w:val="24"/>
        </w:rPr>
        <w:t xml:space="preserve"> located at DHCF</w:t>
      </w:r>
      <w:r w:rsidRPr="002054E8">
        <w:rPr>
          <w:rFonts w:ascii="Times New Roman" w:eastAsia="Times New Roman" w:hAnsi="Times New Roman" w:cs="Times New Roman"/>
          <w:sz w:val="24"/>
          <w:szCs w:val="24"/>
        </w:rPr>
        <w:t xml:space="preserve">. </w:t>
      </w:r>
    </w:p>
    <w:p w:rsidR="00772FA1" w:rsidRPr="00BD7ADB" w:rsidRDefault="00772FA1" w:rsidP="002054E8">
      <w:pPr>
        <w:spacing w:after="0" w:line="240" w:lineRule="auto"/>
        <w:rPr>
          <w:rFonts w:ascii="Times New Roman" w:eastAsia="Calibri" w:hAnsi="Times New Roman" w:cs="Times New Roman"/>
          <w:color w:val="000000"/>
          <w:sz w:val="24"/>
          <w:szCs w:val="24"/>
        </w:rPr>
      </w:pPr>
    </w:p>
    <w:p w:rsidR="00772FA1" w:rsidRPr="002054E8" w:rsidRDefault="00772FA1" w:rsidP="002054E8">
      <w:pPr>
        <w:pStyle w:val="ListParagraph"/>
        <w:numPr>
          <w:ilvl w:val="0"/>
          <w:numId w:val="9"/>
        </w:numPr>
        <w:spacing w:after="0" w:line="240" w:lineRule="auto"/>
        <w:rPr>
          <w:rFonts w:ascii="Times New Roman" w:eastAsia="Times New Roman" w:hAnsi="Times New Roman" w:cs="Times New Roman"/>
          <w:sz w:val="24"/>
          <w:szCs w:val="24"/>
        </w:rPr>
      </w:pPr>
      <w:r w:rsidRPr="002054E8">
        <w:rPr>
          <w:rFonts w:ascii="Times New Roman" w:eastAsia="Times New Roman" w:hAnsi="Times New Roman" w:cs="Times New Roman"/>
          <w:sz w:val="24"/>
          <w:szCs w:val="24"/>
        </w:rPr>
        <w:t>DCOA</w:t>
      </w:r>
      <w:r w:rsidR="00B501A6">
        <w:rPr>
          <w:rFonts w:ascii="Times New Roman" w:eastAsia="Times New Roman" w:hAnsi="Times New Roman" w:cs="Times New Roman"/>
          <w:sz w:val="24"/>
          <w:szCs w:val="24"/>
        </w:rPr>
        <w:t xml:space="preserve"> trained Transition Coordinators on a flexible community-based model, including co-location with lead agencies in each of the 8 wards of the District. The ADRC social workers have continued conducting transition coordination activities</w:t>
      </w:r>
      <w:r w:rsidRPr="002054E8">
        <w:rPr>
          <w:rFonts w:ascii="Times New Roman" w:eastAsia="Times New Roman" w:hAnsi="Times New Roman" w:cs="Times New Roman"/>
          <w:sz w:val="24"/>
          <w:szCs w:val="24"/>
        </w:rPr>
        <w:t xml:space="preserve"> at DCOA lead agencies to improve service delivery</w:t>
      </w:r>
      <w:r w:rsidR="00B501A6">
        <w:rPr>
          <w:rFonts w:ascii="Times New Roman" w:eastAsia="Times New Roman" w:hAnsi="Times New Roman" w:cs="Times New Roman"/>
          <w:sz w:val="24"/>
          <w:szCs w:val="24"/>
        </w:rPr>
        <w:t>, proximity to clients,</w:t>
      </w:r>
      <w:r w:rsidRPr="002054E8">
        <w:rPr>
          <w:rFonts w:ascii="Times New Roman" w:eastAsia="Times New Roman" w:hAnsi="Times New Roman" w:cs="Times New Roman"/>
          <w:sz w:val="24"/>
          <w:szCs w:val="24"/>
        </w:rPr>
        <w:t xml:space="preserve"> and</w:t>
      </w:r>
      <w:r w:rsidR="00B501A6">
        <w:rPr>
          <w:rFonts w:ascii="Times New Roman" w:eastAsia="Times New Roman" w:hAnsi="Times New Roman" w:cs="Times New Roman"/>
          <w:sz w:val="24"/>
          <w:szCs w:val="24"/>
        </w:rPr>
        <w:t xml:space="preserve"> community-based services</w:t>
      </w:r>
      <w:r w:rsidRPr="002054E8">
        <w:rPr>
          <w:rFonts w:ascii="Times New Roman" w:eastAsia="Times New Roman" w:hAnsi="Times New Roman" w:cs="Times New Roman"/>
          <w:sz w:val="24"/>
          <w:szCs w:val="24"/>
        </w:rPr>
        <w:t xml:space="preserve"> access to older adults and people with disabilities</w:t>
      </w:r>
      <w:proofErr w:type="gramStart"/>
      <w:r w:rsidR="00B501A6">
        <w:rPr>
          <w:rFonts w:ascii="Times New Roman" w:eastAsia="Times New Roman" w:hAnsi="Times New Roman" w:cs="Times New Roman"/>
          <w:sz w:val="24"/>
          <w:szCs w:val="24"/>
        </w:rPr>
        <w:t>.</w:t>
      </w:r>
      <w:r w:rsidRPr="002054E8">
        <w:rPr>
          <w:rFonts w:ascii="Times New Roman" w:eastAsia="Times New Roman" w:hAnsi="Times New Roman" w:cs="Times New Roman"/>
          <w:sz w:val="24"/>
          <w:szCs w:val="24"/>
        </w:rPr>
        <w:t>.</w:t>
      </w:r>
      <w:proofErr w:type="gramEnd"/>
      <w:r w:rsidRPr="002054E8">
        <w:rPr>
          <w:rFonts w:ascii="Times New Roman" w:eastAsia="Times New Roman" w:hAnsi="Times New Roman" w:cs="Times New Roman"/>
          <w:sz w:val="24"/>
          <w:szCs w:val="24"/>
        </w:rPr>
        <w:t xml:space="preserve"> </w:t>
      </w:r>
      <w:r w:rsidR="00B501A6">
        <w:rPr>
          <w:rFonts w:ascii="Times New Roman" w:eastAsia="Times New Roman" w:hAnsi="Times New Roman" w:cs="Times New Roman"/>
          <w:sz w:val="24"/>
          <w:szCs w:val="24"/>
        </w:rPr>
        <w:t>This move has e</w:t>
      </w:r>
      <w:r w:rsidRPr="002054E8">
        <w:rPr>
          <w:rFonts w:ascii="Times New Roman" w:eastAsia="Times New Roman" w:hAnsi="Times New Roman" w:cs="Times New Roman"/>
          <w:sz w:val="24"/>
          <w:szCs w:val="24"/>
        </w:rPr>
        <w:t>xpand</w:t>
      </w:r>
      <w:r w:rsidR="00B501A6">
        <w:rPr>
          <w:rFonts w:ascii="Times New Roman" w:eastAsia="Times New Roman" w:hAnsi="Times New Roman" w:cs="Times New Roman"/>
          <w:sz w:val="24"/>
          <w:szCs w:val="24"/>
        </w:rPr>
        <w:t>ed DCOA’s</w:t>
      </w:r>
      <w:r w:rsidRPr="002054E8">
        <w:rPr>
          <w:rFonts w:ascii="Times New Roman" w:eastAsia="Times New Roman" w:hAnsi="Times New Roman" w:cs="Times New Roman"/>
          <w:sz w:val="24"/>
          <w:szCs w:val="24"/>
        </w:rPr>
        <w:t xml:space="preserve"> scope, collaboration</w:t>
      </w:r>
      <w:r w:rsidR="00B501A6">
        <w:rPr>
          <w:rFonts w:ascii="Times New Roman" w:eastAsia="Times New Roman" w:hAnsi="Times New Roman" w:cs="Times New Roman"/>
          <w:sz w:val="24"/>
          <w:szCs w:val="24"/>
        </w:rPr>
        <w:t xml:space="preserve"> with community partners</w:t>
      </w:r>
      <w:r w:rsidRPr="002054E8">
        <w:rPr>
          <w:rFonts w:ascii="Times New Roman" w:eastAsia="Times New Roman" w:hAnsi="Times New Roman" w:cs="Times New Roman"/>
          <w:sz w:val="24"/>
          <w:szCs w:val="24"/>
        </w:rPr>
        <w:t>, and communication</w:t>
      </w:r>
      <w:r w:rsidR="00B501A6">
        <w:rPr>
          <w:rFonts w:ascii="Times New Roman" w:eastAsia="Times New Roman" w:hAnsi="Times New Roman" w:cs="Times New Roman"/>
          <w:sz w:val="24"/>
          <w:szCs w:val="24"/>
        </w:rPr>
        <w:t xml:space="preserve"> among organizations, ultimately benefitting DC residents. </w:t>
      </w:r>
      <w:r w:rsidRPr="002054E8">
        <w:rPr>
          <w:rFonts w:ascii="Times New Roman" w:eastAsia="Times New Roman" w:hAnsi="Times New Roman" w:cs="Times New Roman"/>
          <w:sz w:val="24"/>
          <w:szCs w:val="24"/>
        </w:rPr>
        <w:t>.</w:t>
      </w:r>
    </w:p>
    <w:p w:rsidR="00772FA1" w:rsidRPr="00BD7ADB" w:rsidRDefault="00772FA1" w:rsidP="002054E8">
      <w:pPr>
        <w:spacing w:after="0" w:line="240" w:lineRule="auto"/>
        <w:rPr>
          <w:rFonts w:ascii="Times New Roman" w:eastAsia="Times New Roman" w:hAnsi="Times New Roman" w:cs="Times New Roman"/>
          <w:sz w:val="24"/>
          <w:szCs w:val="24"/>
        </w:rPr>
      </w:pPr>
    </w:p>
    <w:p w:rsidR="00772FA1" w:rsidRPr="002054E8" w:rsidRDefault="00772FA1" w:rsidP="002054E8">
      <w:pPr>
        <w:pStyle w:val="ListParagraph"/>
        <w:numPr>
          <w:ilvl w:val="0"/>
          <w:numId w:val="9"/>
        </w:numPr>
        <w:spacing w:after="0" w:line="240" w:lineRule="auto"/>
        <w:rPr>
          <w:rFonts w:ascii="Times New Roman" w:eastAsia="Calibri" w:hAnsi="Times New Roman" w:cs="Times New Roman"/>
          <w:b/>
          <w:color w:val="000000"/>
          <w:sz w:val="24"/>
          <w:szCs w:val="24"/>
        </w:rPr>
      </w:pPr>
      <w:r w:rsidRPr="002054E8">
        <w:rPr>
          <w:rFonts w:ascii="Times New Roman" w:hAnsi="Times New Roman" w:cs="Times New Roman"/>
          <w:sz w:val="24"/>
          <w:szCs w:val="24"/>
        </w:rPr>
        <w:lastRenderedPageBreak/>
        <w:t>Person-Centered planning is central to DCOA’s efforts to transition people from institutional settings back</w:t>
      </w:r>
      <w:r w:rsidR="00C61E31" w:rsidRPr="002054E8">
        <w:rPr>
          <w:rFonts w:ascii="Times New Roman" w:hAnsi="Times New Roman" w:cs="Times New Roman"/>
          <w:sz w:val="24"/>
          <w:szCs w:val="24"/>
        </w:rPr>
        <w:t xml:space="preserve"> into the community. </w:t>
      </w:r>
      <w:r w:rsidR="00B501A6">
        <w:rPr>
          <w:rFonts w:ascii="Times New Roman" w:hAnsi="Times New Roman" w:cs="Times New Roman"/>
          <w:sz w:val="24"/>
          <w:szCs w:val="24"/>
        </w:rPr>
        <w:t>DCOA</w:t>
      </w:r>
      <w:r w:rsidR="00B501A6" w:rsidRPr="002054E8">
        <w:rPr>
          <w:rFonts w:ascii="Times New Roman" w:hAnsi="Times New Roman" w:cs="Times New Roman"/>
          <w:sz w:val="24"/>
          <w:szCs w:val="24"/>
        </w:rPr>
        <w:t xml:space="preserve"> </w:t>
      </w:r>
      <w:proofErr w:type="gramStart"/>
      <w:r w:rsidR="00C61E31" w:rsidRPr="002054E8">
        <w:rPr>
          <w:rFonts w:ascii="Times New Roman" w:hAnsi="Times New Roman" w:cs="Times New Roman"/>
          <w:sz w:val="24"/>
          <w:szCs w:val="24"/>
        </w:rPr>
        <w:t>staff</w:t>
      </w:r>
      <w:r w:rsidR="00F619F5">
        <w:rPr>
          <w:rFonts w:ascii="Times New Roman" w:hAnsi="Times New Roman" w:cs="Times New Roman"/>
          <w:sz w:val="24"/>
          <w:szCs w:val="24"/>
        </w:rPr>
        <w:t xml:space="preserve"> </w:t>
      </w:r>
      <w:r w:rsidR="00B501A6">
        <w:rPr>
          <w:rFonts w:ascii="Times New Roman" w:hAnsi="Times New Roman" w:cs="Times New Roman"/>
          <w:sz w:val="24"/>
          <w:szCs w:val="24"/>
        </w:rPr>
        <w:t>have</w:t>
      </w:r>
      <w:proofErr w:type="gramEnd"/>
      <w:r w:rsidR="00B501A6">
        <w:rPr>
          <w:rFonts w:ascii="Times New Roman" w:hAnsi="Times New Roman" w:cs="Times New Roman"/>
          <w:sz w:val="24"/>
          <w:szCs w:val="24"/>
        </w:rPr>
        <w:t xml:space="preserve"> </w:t>
      </w:r>
      <w:r w:rsidRPr="002054E8">
        <w:rPr>
          <w:rFonts w:ascii="Times New Roman" w:hAnsi="Times New Roman" w:cs="Times New Roman"/>
          <w:sz w:val="24"/>
          <w:szCs w:val="24"/>
        </w:rPr>
        <w:t xml:space="preserve">been trained to provide person-centered options counseling when assisting DC residents in understanding their long-term care options. To improve our practice and collaborate on person-centered practices, DCOA is currently partnering with other DC health and human service agencies (DDS, DBH, DHCF, </w:t>
      </w:r>
      <w:r w:rsidR="00A21AB0">
        <w:rPr>
          <w:rFonts w:ascii="Times New Roman" w:hAnsi="Times New Roman" w:cs="Times New Roman"/>
          <w:sz w:val="24"/>
          <w:szCs w:val="24"/>
        </w:rPr>
        <w:t>D</w:t>
      </w:r>
      <w:r w:rsidRPr="002054E8">
        <w:rPr>
          <w:rFonts w:ascii="Times New Roman" w:hAnsi="Times New Roman" w:cs="Times New Roman"/>
          <w:sz w:val="24"/>
          <w:szCs w:val="24"/>
        </w:rPr>
        <w:t xml:space="preserve">OH, DHS, and the </w:t>
      </w:r>
      <w:r w:rsidR="00A21AB0">
        <w:rPr>
          <w:rFonts w:ascii="Times New Roman" w:hAnsi="Times New Roman" w:cs="Times New Roman"/>
          <w:sz w:val="24"/>
          <w:szCs w:val="24"/>
        </w:rPr>
        <w:t>OVA</w:t>
      </w:r>
      <w:r w:rsidRPr="002054E8">
        <w:rPr>
          <w:rFonts w:ascii="Times New Roman" w:hAnsi="Times New Roman" w:cs="Times New Roman"/>
          <w:sz w:val="24"/>
          <w:szCs w:val="24"/>
        </w:rPr>
        <w:t>), in developing and implementing a No Wrong Door (NWD) system of access to Long Term Care Services and Support for all population and all payers.</w:t>
      </w:r>
      <w:r w:rsidR="00CB74C4">
        <w:rPr>
          <w:rFonts w:ascii="Times New Roman" w:hAnsi="Times New Roman" w:cs="Times New Roman"/>
          <w:sz w:val="24"/>
          <w:szCs w:val="24"/>
        </w:rPr>
        <w:t xml:space="preserve"> O</w:t>
      </w:r>
      <w:r w:rsidR="00B501A6">
        <w:rPr>
          <w:rFonts w:ascii="Times New Roman" w:hAnsi="Times New Roman" w:cs="Times New Roman"/>
          <w:sz w:val="24"/>
          <w:szCs w:val="24"/>
        </w:rPr>
        <w:t>ver 20</w:t>
      </w:r>
      <w:r w:rsidR="00CB74C4">
        <w:rPr>
          <w:rFonts w:ascii="Times New Roman" w:hAnsi="Times New Roman" w:cs="Times New Roman"/>
          <w:sz w:val="24"/>
          <w:szCs w:val="24"/>
        </w:rPr>
        <w:t xml:space="preserve"> of</w:t>
      </w:r>
      <w:r w:rsidR="00B501A6">
        <w:rPr>
          <w:rFonts w:ascii="Times New Roman" w:hAnsi="Times New Roman" w:cs="Times New Roman"/>
          <w:sz w:val="24"/>
          <w:szCs w:val="24"/>
        </w:rPr>
        <w:t xml:space="preserve"> </w:t>
      </w:r>
      <w:r w:rsidR="00CB74C4">
        <w:rPr>
          <w:rFonts w:ascii="Times New Roman" w:hAnsi="Times New Roman" w:cs="Times New Roman"/>
          <w:sz w:val="24"/>
          <w:szCs w:val="24"/>
        </w:rPr>
        <w:t xml:space="preserve">DCOA’s front line staff and managers will be trained in the District-wide Person-Centered Counseling training in FY16, funded by the No Wrong Door initiative. </w:t>
      </w:r>
    </w:p>
    <w:p w:rsidR="00772FA1" w:rsidRPr="00BD7ADB" w:rsidRDefault="00772FA1" w:rsidP="002054E8">
      <w:pPr>
        <w:autoSpaceDE w:val="0"/>
        <w:autoSpaceDN w:val="0"/>
        <w:adjustRightInd w:val="0"/>
        <w:spacing w:after="0" w:line="240" w:lineRule="auto"/>
        <w:rPr>
          <w:rFonts w:ascii="Times New Roman" w:hAnsi="Times New Roman" w:cs="Times New Roman"/>
          <w:sz w:val="24"/>
          <w:szCs w:val="24"/>
        </w:rPr>
      </w:pPr>
    </w:p>
    <w:p w:rsidR="00772FA1" w:rsidRPr="002054E8" w:rsidRDefault="00772FA1" w:rsidP="002054E8">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2054E8">
        <w:rPr>
          <w:rFonts w:ascii="Times New Roman" w:hAnsi="Times New Roman" w:cs="Times New Roman"/>
          <w:sz w:val="24"/>
          <w:szCs w:val="24"/>
        </w:rPr>
        <w:t xml:space="preserve">As part of its work on the person-centered work group, DCOA conducted three </w:t>
      </w:r>
      <w:r w:rsidR="00A21AB0">
        <w:rPr>
          <w:rFonts w:ascii="Times New Roman" w:hAnsi="Times New Roman" w:cs="Times New Roman"/>
          <w:sz w:val="24"/>
          <w:szCs w:val="24"/>
        </w:rPr>
        <w:t xml:space="preserve">(3) </w:t>
      </w:r>
      <w:r w:rsidRPr="002054E8">
        <w:rPr>
          <w:rFonts w:ascii="Times New Roman" w:hAnsi="Times New Roman" w:cs="Times New Roman"/>
          <w:sz w:val="24"/>
          <w:szCs w:val="24"/>
        </w:rPr>
        <w:t xml:space="preserve">focus groups in August and September, 2015, to help gain insight on our intake/referrals process from the perspective of older adults and people with disabilities who have contacted DCOA for services/supports. ADRC staff also asked focus group attendees for feedback on ADRC’s outreach materials to ensure that the language and design was accessible and inviting to both older adults and people with disabilities. </w:t>
      </w:r>
    </w:p>
    <w:p w:rsidR="00C61E31" w:rsidRPr="00BD7ADB" w:rsidRDefault="00C61E31" w:rsidP="002054E8">
      <w:pPr>
        <w:autoSpaceDE w:val="0"/>
        <w:autoSpaceDN w:val="0"/>
        <w:adjustRightInd w:val="0"/>
        <w:spacing w:after="0" w:line="240" w:lineRule="auto"/>
        <w:rPr>
          <w:rFonts w:ascii="Times New Roman" w:hAnsi="Times New Roman" w:cs="Times New Roman"/>
          <w:sz w:val="24"/>
          <w:szCs w:val="24"/>
        </w:rPr>
      </w:pPr>
    </w:p>
    <w:p w:rsidR="00C61E31" w:rsidRPr="002054E8" w:rsidRDefault="00C61E31" w:rsidP="002054E8">
      <w:pPr>
        <w:pStyle w:val="ListParagraph"/>
        <w:numPr>
          <w:ilvl w:val="0"/>
          <w:numId w:val="9"/>
        </w:numPr>
        <w:spacing w:after="0" w:line="240" w:lineRule="auto"/>
        <w:rPr>
          <w:rFonts w:ascii="Times New Roman" w:eastAsia="Times New Roman" w:hAnsi="Times New Roman" w:cs="Times New Roman"/>
          <w:sz w:val="24"/>
          <w:szCs w:val="24"/>
        </w:rPr>
      </w:pPr>
      <w:r w:rsidRPr="002054E8">
        <w:rPr>
          <w:rFonts w:ascii="Times New Roman" w:eastAsia="Times New Roman" w:hAnsi="Times New Roman" w:cs="Times New Roman"/>
          <w:sz w:val="24"/>
          <w:szCs w:val="24"/>
        </w:rPr>
        <w:t xml:space="preserve">DC has committed through the Olmstead and </w:t>
      </w:r>
      <w:r w:rsidRPr="00F619F5">
        <w:rPr>
          <w:rFonts w:ascii="Times New Roman" w:eastAsia="Times New Roman" w:hAnsi="Times New Roman" w:cs="Times New Roman"/>
          <w:i/>
          <w:sz w:val="24"/>
          <w:szCs w:val="24"/>
        </w:rPr>
        <w:t>No Wrong Door</w:t>
      </w:r>
      <w:r w:rsidRPr="002054E8">
        <w:rPr>
          <w:rFonts w:ascii="Times New Roman" w:eastAsia="Times New Roman" w:hAnsi="Times New Roman" w:cs="Times New Roman"/>
          <w:sz w:val="24"/>
          <w:szCs w:val="24"/>
        </w:rPr>
        <w:t xml:space="preserve"> initiatives to convene a workgroup of DC health and human services agencies (including DCOA), and hospital and nursing facility staff, to create a home and community based services manual primarily for training hospital and nursing facility staff on the many services and supports available in the community, eligibility requirements, and how best to access them. DCOA expects to participate extensively in the development of this manual.</w:t>
      </w:r>
    </w:p>
    <w:p w:rsidR="00C61E31" w:rsidRPr="00BD7ADB" w:rsidRDefault="00C61E31" w:rsidP="002054E8">
      <w:pPr>
        <w:autoSpaceDE w:val="0"/>
        <w:autoSpaceDN w:val="0"/>
        <w:adjustRightInd w:val="0"/>
        <w:spacing w:after="0" w:line="240" w:lineRule="auto"/>
        <w:rPr>
          <w:rFonts w:ascii="Times New Roman" w:hAnsi="Times New Roman" w:cs="Times New Roman"/>
          <w:sz w:val="24"/>
          <w:szCs w:val="24"/>
        </w:rPr>
      </w:pPr>
    </w:p>
    <w:p w:rsidR="00772FA1" w:rsidRPr="00B17916" w:rsidRDefault="00C61E31" w:rsidP="00C61E3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B17916">
        <w:rPr>
          <w:rFonts w:ascii="Times New Roman" w:eastAsia="Times New Roman" w:hAnsi="Times New Roman" w:cs="Times New Roman"/>
          <w:sz w:val="24"/>
          <w:szCs w:val="24"/>
        </w:rPr>
        <w:t xml:space="preserve">With the aim of improving the accuracy and content of ADRC outreach materials, DCOA hired a consultant, Campbell and Company, to update ADRC outreach materials (ADRC logo, </w:t>
      </w:r>
      <w:r w:rsidR="00CB74C4">
        <w:rPr>
          <w:rFonts w:ascii="Times New Roman" w:eastAsia="Times New Roman" w:hAnsi="Times New Roman" w:cs="Times New Roman"/>
          <w:sz w:val="24"/>
          <w:szCs w:val="24"/>
        </w:rPr>
        <w:t xml:space="preserve">program </w:t>
      </w:r>
      <w:r w:rsidRPr="00B17916">
        <w:rPr>
          <w:rFonts w:ascii="Times New Roman" w:eastAsia="Times New Roman" w:hAnsi="Times New Roman" w:cs="Times New Roman"/>
          <w:sz w:val="24"/>
          <w:szCs w:val="24"/>
        </w:rPr>
        <w:t>flyers,</w:t>
      </w:r>
      <w:r w:rsidR="00CB74C4">
        <w:rPr>
          <w:rFonts w:ascii="Times New Roman" w:eastAsia="Times New Roman" w:hAnsi="Times New Roman" w:cs="Times New Roman"/>
          <w:sz w:val="24"/>
          <w:szCs w:val="24"/>
        </w:rPr>
        <w:t xml:space="preserve"> and an ADRC</w:t>
      </w:r>
      <w:r w:rsidRPr="00B17916">
        <w:rPr>
          <w:rFonts w:ascii="Times New Roman" w:eastAsia="Times New Roman" w:hAnsi="Times New Roman" w:cs="Times New Roman"/>
          <w:sz w:val="24"/>
          <w:szCs w:val="24"/>
        </w:rPr>
        <w:t xml:space="preserve"> tri-fold). DCOA staff also developed a basic DCOA training to ensure that all DCOA staff, external partners, community residents, and other key stakeholders receive current, clear, and consistent information about DCOA.  To achieve this, ADRC led bi-weekly strategic marketing meetings which helped create a work plan for Campbell and Company. </w:t>
      </w:r>
    </w:p>
    <w:p w:rsidR="00772FA1" w:rsidRPr="00BD7ADB" w:rsidRDefault="00772FA1" w:rsidP="00772FA1">
      <w:pPr>
        <w:spacing w:after="0" w:line="240" w:lineRule="auto"/>
        <w:rPr>
          <w:rFonts w:ascii="Times New Roman" w:eastAsia="Times New Roman" w:hAnsi="Times New Roman" w:cs="Times New Roman"/>
          <w:sz w:val="24"/>
          <w:szCs w:val="24"/>
        </w:rPr>
      </w:pPr>
    </w:p>
    <w:p w:rsidR="00991B5F" w:rsidRPr="00BD7ADB" w:rsidRDefault="002054E8" w:rsidP="00557A13">
      <w:pPr>
        <w:spacing w:after="0" w:line="240" w:lineRule="auto"/>
        <w:textAlignment w:val="baseline"/>
        <w:rPr>
          <w:rFonts w:ascii="Times New Roman" w:hAnsi="Times New Roman" w:cs="Times New Roman"/>
          <w:b/>
          <w:sz w:val="24"/>
          <w:szCs w:val="24"/>
        </w:rPr>
      </w:pPr>
      <w:r>
        <w:rPr>
          <w:rFonts w:ascii="Roboto-Regular" w:eastAsia="Times New Roman" w:hAnsi="Roboto-Regular" w:cs="Arial"/>
          <w:noProof/>
          <w:sz w:val="20"/>
          <w:szCs w:val="20"/>
        </w:rPr>
        <w:drawing>
          <wp:inline distT="0" distB="0" distL="0" distR="0" wp14:anchorId="46D37E2A" wp14:editId="3A9BE5A1">
            <wp:extent cx="1258253" cy="948432"/>
            <wp:effectExtent l="0" t="0" r="0" b="4445"/>
            <wp:docPr id="2" name="Picture 2" descr="District of Columbia Department on Disability Services wi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trict of Columbia Department on Disability Services with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8253" cy="948432"/>
                    </a:xfrm>
                    <a:prstGeom prst="rect">
                      <a:avLst/>
                    </a:prstGeom>
                    <a:noFill/>
                    <a:ln>
                      <a:noFill/>
                    </a:ln>
                  </pic:spPr>
                </pic:pic>
              </a:graphicData>
            </a:graphic>
          </wp:inline>
        </w:drawing>
      </w:r>
      <w:r w:rsidR="00991B5F" w:rsidRPr="00BD7ADB">
        <w:rPr>
          <w:rFonts w:ascii="Times New Roman" w:hAnsi="Times New Roman" w:cs="Times New Roman"/>
          <w:b/>
          <w:sz w:val="24"/>
          <w:szCs w:val="24"/>
        </w:rPr>
        <w:t>DEPARTMENT OF DISABILITY SERVICES</w:t>
      </w:r>
      <w:r>
        <w:rPr>
          <w:rFonts w:ascii="Times New Roman" w:hAnsi="Times New Roman" w:cs="Times New Roman"/>
          <w:b/>
          <w:sz w:val="24"/>
          <w:szCs w:val="24"/>
        </w:rPr>
        <w:t xml:space="preserve"> (DDS)</w:t>
      </w:r>
    </w:p>
    <w:p w:rsidR="00557A13" w:rsidRDefault="00557A13" w:rsidP="00A604F7">
      <w:pPr>
        <w:rPr>
          <w:rFonts w:ascii="Times New Roman" w:hAnsi="Times New Roman" w:cs="Times New Roman"/>
          <w:b/>
          <w:sz w:val="24"/>
          <w:szCs w:val="24"/>
          <w:u w:val="single"/>
        </w:rPr>
      </w:pPr>
    </w:p>
    <w:p w:rsidR="00A604F7" w:rsidRPr="00BD7ADB" w:rsidRDefault="00A604F7" w:rsidP="00A604F7">
      <w:pPr>
        <w:rPr>
          <w:rFonts w:ascii="Times New Roman" w:hAnsi="Times New Roman" w:cs="Times New Roman"/>
          <w:b/>
          <w:sz w:val="24"/>
          <w:szCs w:val="24"/>
          <w:u w:val="single"/>
        </w:rPr>
      </w:pPr>
      <w:r w:rsidRPr="00BD7ADB">
        <w:rPr>
          <w:rFonts w:ascii="Times New Roman" w:hAnsi="Times New Roman" w:cs="Times New Roman"/>
          <w:b/>
          <w:sz w:val="24"/>
          <w:szCs w:val="24"/>
          <w:u w:val="single"/>
        </w:rPr>
        <w:t>DDS Quantitative Progress Summary</w:t>
      </w:r>
    </w:p>
    <w:p w:rsidR="0089653C" w:rsidRPr="00BD7ADB" w:rsidRDefault="0089653C" w:rsidP="0089653C">
      <w:pPr>
        <w:spacing w:after="0" w:line="240" w:lineRule="auto"/>
        <w:rPr>
          <w:rFonts w:ascii="Times New Roman" w:hAnsi="Times New Roman" w:cs="Times New Roman"/>
          <w:color w:val="000000"/>
          <w:sz w:val="24"/>
          <w:szCs w:val="24"/>
        </w:rPr>
      </w:pPr>
      <w:r w:rsidRPr="0089653C">
        <w:rPr>
          <w:rFonts w:ascii="Times New Roman" w:hAnsi="Times New Roman" w:cs="Times New Roman"/>
          <w:color w:val="000000"/>
          <w:sz w:val="24"/>
          <w:szCs w:val="24"/>
        </w:rPr>
        <w:t>DDS transitioned one (1) person from an Intermediate Care Facility to community-based residential supports and transitioned two hundred three (203) people who were receiving day services in solely congregate settings to receive day supports in the community</w:t>
      </w:r>
      <w:r w:rsidRPr="00557A13">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w:t>
      </w:r>
    </w:p>
    <w:p w:rsidR="0089653C" w:rsidRDefault="0089653C" w:rsidP="0089653C">
      <w:pPr>
        <w:spacing w:after="0" w:line="240" w:lineRule="auto"/>
        <w:rPr>
          <w:rFonts w:ascii="Times New Roman" w:hAnsi="Times New Roman" w:cs="Times New Roman"/>
          <w:b/>
          <w:sz w:val="24"/>
          <w:szCs w:val="24"/>
          <w:u w:val="single"/>
        </w:rPr>
      </w:pPr>
    </w:p>
    <w:p w:rsidR="0089653C" w:rsidRPr="00BD7ADB" w:rsidRDefault="0089653C" w:rsidP="0089653C">
      <w:pPr>
        <w:spacing w:after="0" w:line="240" w:lineRule="auto"/>
        <w:rPr>
          <w:rFonts w:ascii="Times New Roman" w:hAnsi="Times New Roman" w:cs="Times New Roman"/>
          <w:b/>
          <w:sz w:val="24"/>
          <w:szCs w:val="24"/>
          <w:u w:val="single"/>
        </w:rPr>
      </w:pPr>
      <w:r w:rsidRPr="00BD7ADB">
        <w:rPr>
          <w:rFonts w:ascii="Times New Roman" w:hAnsi="Times New Roman" w:cs="Times New Roman"/>
          <w:b/>
          <w:sz w:val="24"/>
          <w:szCs w:val="24"/>
          <w:u w:val="single"/>
        </w:rPr>
        <w:lastRenderedPageBreak/>
        <w:t>DDS Qualitative Progress Summary</w:t>
      </w:r>
    </w:p>
    <w:p w:rsidR="0089653C" w:rsidRDefault="0089653C" w:rsidP="0089653C">
      <w:pPr>
        <w:spacing w:after="0" w:line="240" w:lineRule="auto"/>
        <w:rPr>
          <w:rFonts w:ascii="Times New Roman" w:hAnsi="Times New Roman" w:cs="Times New Roman"/>
          <w:sz w:val="24"/>
          <w:szCs w:val="24"/>
        </w:rPr>
      </w:pPr>
    </w:p>
    <w:p w:rsidR="0089653C" w:rsidRPr="008409FC" w:rsidRDefault="0089653C" w:rsidP="0089653C">
      <w:pPr>
        <w:pStyle w:val="ListParagraph"/>
        <w:numPr>
          <w:ilvl w:val="0"/>
          <w:numId w:val="10"/>
        </w:numPr>
        <w:spacing w:after="0" w:line="240" w:lineRule="auto"/>
        <w:rPr>
          <w:rFonts w:ascii="Times New Roman" w:hAnsi="Times New Roman" w:cs="Times New Roman"/>
          <w:sz w:val="24"/>
          <w:szCs w:val="24"/>
        </w:rPr>
      </w:pPr>
      <w:r w:rsidRPr="008409FC">
        <w:rPr>
          <w:rFonts w:ascii="Times New Roman" w:hAnsi="Times New Roman" w:cs="Times New Roman"/>
          <w:sz w:val="24"/>
          <w:szCs w:val="24"/>
        </w:rPr>
        <w:t>DDS conducted twenty-four (24) outreach activities to inform people with intellectual and developmental disabilities (IDD), their families, advocates, providers, and other governmental agencies about community-based support options.</w:t>
      </w:r>
    </w:p>
    <w:p w:rsidR="0089653C" w:rsidRDefault="0089653C" w:rsidP="0089653C">
      <w:pPr>
        <w:spacing w:after="0" w:line="240" w:lineRule="auto"/>
        <w:rPr>
          <w:rFonts w:ascii="Times New Roman" w:hAnsi="Times New Roman" w:cs="Times New Roman"/>
          <w:sz w:val="24"/>
          <w:szCs w:val="24"/>
        </w:rPr>
      </w:pPr>
    </w:p>
    <w:p w:rsidR="0089653C" w:rsidRPr="008409FC" w:rsidRDefault="0089653C" w:rsidP="0089653C">
      <w:pPr>
        <w:pStyle w:val="ListParagraph"/>
        <w:numPr>
          <w:ilvl w:val="0"/>
          <w:numId w:val="10"/>
        </w:numPr>
        <w:spacing w:after="0" w:line="240" w:lineRule="auto"/>
        <w:rPr>
          <w:rFonts w:ascii="Times New Roman" w:hAnsi="Times New Roman" w:cs="Times New Roman"/>
          <w:sz w:val="24"/>
          <w:szCs w:val="24"/>
        </w:rPr>
      </w:pPr>
      <w:r w:rsidRPr="008409FC">
        <w:rPr>
          <w:rFonts w:ascii="Times New Roman" w:hAnsi="Times New Roman" w:cs="Times New Roman"/>
          <w:sz w:val="24"/>
          <w:szCs w:val="24"/>
        </w:rPr>
        <w:t>DDS increased the number of qualified service providers by six (6) in an effort to decrease service gaps.</w:t>
      </w:r>
    </w:p>
    <w:p w:rsidR="0089653C" w:rsidRDefault="0089653C" w:rsidP="0089653C">
      <w:pPr>
        <w:pStyle w:val="Default"/>
        <w:rPr>
          <w:rFonts w:ascii="Times New Roman" w:hAnsi="Times New Roman" w:cs="Times New Roman"/>
        </w:rPr>
      </w:pPr>
    </w:p>
    <w:p w:rsidR="0089653C" w:rsidRPr="00BD7ADB" w:rsidRDefault="0089653C" w:rsidP="0089653C">
      <w:pPr>
        <w:pStyle w:val="Default"/>
        <w:numPr>
          <w:ilvl w:val="0"/>
          <w:numId w:val="10"/>
        </w:numPr>
        <w:rPr>
          <w:rFonts w:ascii="Times New Roman" w:hAnsi="Times New Roman" w:cs="Times New Roman"/>
          <w:color w:val="auto"/>
        </w:rPr>
      </w:pPr>
      <w:r w:rsidRPr="00BD7ADB">
        <w:rPr>
          <w:rFonts w:ascii="Times New Roman" w:hAnsi="Times New Roman" w:cs="Times New Roman"/>
        </w:rPr>
        <w:t xml:space="preserve">DDS worked with Department of Healthcare Finance (DHCF) </w:t>
      </w:r>
      <w:r>
        <w:rPr>
          <w:rFonts w:ascii="Times New Roman" w:hAnsi="Times New Roman" w:cs="Times New Roman"/>
        </w:rPr>
        <w:t xml:space="preserve">to submit </w:t>
      </w:r>
      <w:r w:rsidRPr="00BD7ADB">
        <w:rPr>
          <w:rFonts w:ascii="Times New Roman" w:hAnsi="Times New Roman" w:cs="Times New Roman"/>
        </w:rPr>
        <w:t>waiver amendments to the Centers for Medicare and Medicaid Services on February 28, 2015 that create</w:t>
      </w:r>
      <w:r>
        <w:rPr>
          <w:rFonts w:ascii="Times New Roman" w:hAnsi="Times New Roman" w:cs="Times New Roman"/>
        </w:rPr>
        <w:t>d</w:t>
      </w:r>
      <w:r w:rsidRPr="00BD7ADB">
        <w:rPr>
          <w:rFonts w:ascii="Times New Roman" w:hAnsi="Times New Roman" w:cs="Times New Roman"/>
        </w:rPr>
        <w:t xml:space="preserve"> greater opportunities for community integration, including the </w:t>
      </w:r>
      <w:r>
        <w:rPr>
          <w:rFonts w:ascii="Times New Roman" w:hAnsi="Times New Roman" w:cs="Times New Roman"/>
        </w:rPr>
        <w:t xml:space="preserve">development </w:t>
      </w:r>
      <w:r w:rsidRPr="00BD7ADB">
        <w:rPr>
          <w:rFonts w:ascii="Times New Roman" w:hAnsi="Times New Roman" w:cs="Times New Roman"/>
        </w:rPr>
        <w:t>of small group day habili</w:t>
      </w:r>
      <w:r>
        <w:rPr>
          <w:rFonts w:ascii="Times New Roman" w:hAnsi="Times New Roman" w:cs="Times New Roman"/>
        </w:rPr>
        <w:t>tation services and companion services,</w:t>
      </w:r>
      <w:r w:rsidRPr="00BD7ADB">
        <w:rPr>
          <w:rFonts w:ascii="Times New Roman" w:hAnsi="Times New Roman" w:cs="Times New Roman"/>
        </w:rPr>
        <w:t xml:space="preserve"> as well as changes to </w:t>
      </w:r>
      <w:r>
        <w:rPr>
          <w:rFonts w:ascii="Times New Roman" w:hAnsi="Times New Roman" w:cs="Times New Roman"/>
        </w:rPr>
        <w:t xml:space="preserve">a number of </w:t>
      </w:r>
      <w:r w:rsidRPr="00BD7ADB">
        <w:rPr>
          <w:rFonts w:ascii="Times New Roman" w:hAnsi="Times New Roman" w:cs="Times New Roman"/>
        </w:rPr>
        <w:t>service definitions to specifically include community exploration, inclusion and integration. Th</w:t>
      </w:r>
      <w:r>
        <w:rPr>
          <w:rFonts w:ascii="Times New Roman" w:hAnsi="Times New Roman" w:cs="Times New Roman"/>
        </w:rPr>
        <w:t>e</w:t>
      </w:r>
      <w:r w:rsidRPr="00BD7ADB">
        <w:rPr>
          <w:rFonts w:ascii="Times New Roman" w:hAnsi="Times New Roman" w:cs="Times New Roman"/>
        </w:rPr>
        <w:t xml:space="preserve"> waiver </w:t>
      </w:r>
      <w:r>
        <w:rPr>
          <w:rFonts w:ascii="Times New Roman" w:hAnsi="Times New Roman" w:cs="Times New Roman"/>
        </w:rPr>
        <w:t xml:space="preserve">amendments were </w:t>
      </w:r>
      <w:r w:rsidRPr="00BD7ADB">
        <w:rPr>
          <w:rFonts w:ascii="Times New Roman" w:hAnsi="Times New Roman" w:cs="Times New Roman"/>
        </w:rPr>
        <w:t xml:space="preserve">approved on September 24, 2015. </w:t>
      </w:r>
    </w:p>
    <w:p w:rsidR="0089653C" w:rsidRPr="00BD7ADB" w:rsidRDefault="0089653C" w:rsidP="0089653C">
      <w:pPr>
        <w:autoSpaceDE w:val="0"/>
        <w:autoSpaceDN w:val="0"/>
        <w:adjustRightInd w:val="0"/>
        <w:spacing w:after="0" w:line="240" w:lineRule="auto"/>
        <w:rPr>
          <w:rFonts w:ascii="Times New Roman" w:hAnsi="Times New Roman" w:cs="Times New Roman"/>
          <w:color w:val="000000"/>
          <w:sz w:val="24"/>
          <w:szCs w:val="24"/>
        </w:rPr>
      </w:pPr>
    </w:p>
    <w:p w:rsidR="0089653C" w:rsidRPr="005E69CC" w:rsidRDefault="0089653C" w:rsidP="0089653C">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5E69CC">
        <w:rPr>
          <w:rFonts w:ascii="Times New Roman" w:hAnsi="Times New Roman" w:cs="Times New Roman"/>
          <w:color w:val="000000"/>
          <w:sz w:val="24"/>
          <w:szCs w:val="24"/>
        </w:rPr>
        <w:t xml:space="preserve">DDS developed assessment tools for guided discussions around employment exploration and most integrated day and vocational services. The </w:t>
      </w:r>
      <w:r>
        <w:rPr>
          <w:rFonts w:ascii="Times New Roman" w:hAnsi="Times New Roman" w:cs="Times New Roman"/>
          <w:color w:val="000000"/>
          <w:sz w:val="24"/>
          <w:szCs w:val="24"/>
        </w:rPr>
        <w:t xml:space="preserve">implementing </w:t>
      </w:r>
      <w:r w:rsidRPr="005E69CC">
        <w:rPr>
          <w:rFonts w:ascii="Times New Roman" w:hAnsi="Times New Roman" w:cs="Times New Roman"/>
          <w:color w:val="000000"/>
          <w:sz w:val="24"/>
          <w:szCs w:val="24"/>
        </w:rPr>
        <w:t xml:space="preserve">policy and procedure </w:t>
      </w:r>
      <w:r>
        <w:rPr>
          <w:rFonts w:ascii="Times New Roman" w:hAnsi="Times New Roman" w:cs="Times New Roman"/>
          <w:color w:val="000000"/>
          <w:sz w:val="24"/>
          <w:szCs w:val="24"/>
        </w:rPr>
        <w:t xml:space="preserve">are effective as of </w:t>
      </w:r>
      <w:r w:rsidRPr="005E69CC">
        <w:rPr>
          <w:rFonts w:ascii="Times New Roman" w:hAnsi="Times New Roman" w:cs="Times New Roman"/>
          <w:color w:val="000000"/>
          <w:sz w:val="24"/>
          <w:szCs w:val="24"/>
        </w:rPr>
        <w:t xml:space="preserve">June 1, 2015. </w:t>
      </w:r>
    </w:p>
    <w:p w:rsidR="0089653C" w:rsidRPr="00BD7ADB" w:rsidRDefault="0089653C" w:rsidP="0089653C">
      <w:pPr>
        <w:autoSpaceDE w:val="0"/>
        <w:autoSpaceDN w:val="0"/>
        <w:adjustRightInd w:val="0"/>
        <w:spacing w:after="0" w:line="240" w:lineRule="auto"/>
        <w:rPr>
          <w:rFonts w:ascii="Times New Roman" w:hAnsi="Times New Roman" w:cs="Times New Roman"/>
          <w:color w:val="000000"/>
          <w:sz w:val="24"/>
          <w:szCs w:val="24"/>
        </w:rPr>
      </w:pPr>
    </w:p>
    <w:p w:rsidR="0089653C" w:rsidRPr="008409FC" w:rsidRDefault="0089653C" w:rsidP="0089653C">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8409FC">
        <w:rPr>
          <w:rFonts w:ascii="Times New Roman" w:hAnsi="Times New Roman" w:cs="Times New Roman"/>
          <w:color w:val="000000"/>
          <w:sz w:val="24"/>
          <w:szCs w:val="24"/>
        </w:rPr>
        <w:t xml:space="preserve">DDS met with stakeholders to revise the day and vocational supports waiver regulations </w:t>
      </w:r>
      <w:r>
        <w:rPr>
          <w:rFonts w:ascii="Times New Roman" w:hAnsi="Times New Roman" w:cs="Times New Roman"/>
          <w:color w:val="000000"/>
          <w:sz w:val="24"/>
          <w:szCs w:val="24"/>
        </w:rPr>
        <w:t xml:space="preserve">to make changes to infuse person-centered thinking principles and ensure opportunities for community integration and employment discovery.  DDS worked with </w:t>
      </w:r>
      <w:r w:rsidRPr="008409FC">
        <w:rPr>
          <w:rFonts w:ascii="Times New Roman" w:hAnsi="Times New Roman" w:cs="Times New Roman"/>
          <w:color w:val="000000"/>
          <w:sz w:val="24"/>
          <w:szCs w:val="24"/>
        </w:rPr>
        <w:t>DHCF</w:t>
      </w:r>
      <w:r>
        <w:rPr>
          <w:rFonts w:ascii="Times New Roman" w:hAnsi="Times New Roman" w:cs="Times New Roman"/>
          <w:color w:val="000000"/>
          <w:sz w:val="24"/>
          <w:szCs w:val="24"/>
        </w:rPr>
        <w:t xml:space="preserve"> to publish </w:t>
      </w:r>
      <w:r w:rsidRPr="008409FC">
        <w:rPr>
          <w:rFonts w:ascii="Times New Roman" w:hAnsi="Times New Roman" w:cs="Times New Roman"/>
          <w:color w:val="000000"/>
          <w:sz w:val="24"/>
          <w:szCs w:val="24"/>
        </w:rPr>
        <w:t>regulations for day habilitation and individualized day supports in October 2015</w:t>
      </w:r>
      <w:r>
        <w:rPr>
          <w:rFonts w:ascii="Times New Roman" w:hAnsi="Times New Roman" w:cs="Times New Roman"/>
          <w:color w:val="000000"/>
          <w:sz w:val="24"/>
          <w:szCs w:val="24"/>
        </w:rPr>
        <w:t>;</w:t>
      </w:r>
      <w:r w:rsidRPr="008409FC">
        <w:rPr>
          <w:rFonts w:ascii="Times New Roman" w:hAnsi="Times New Roman" w:cs="Times New Roman"/>
          <w:color w:val="000000"/>
          <w:sz w:val="24"/>
          <w:szCs w:val="24"/>
        </w:rPr>
        <w:t xml:space="preserve"> employment readiness in December 2015</w:t>
      </w:r>
      <w:r>
        <w:rPr>
          <w:rFonts w:ascii="Times New Roman" w:hAnsi="Times New Roman" w:cs="Times New Roman"/>
          <w:color w:val="000000"/>
          <w:sz w:val="24"/>
          <w:szCs w:val="24"/>
        </w:rPr>
        <w:t>;</w:t>
      </w:r>
      <w:r w:rsidRPr="008409FC">
        <w:rPr>
          <w:rFonts w:ascii="Times New Roman" w:hAnsi="Times New Roman" w:cs="Times New Roman"/>
          <w:color w:val="000000"/>
          <w:sz w:val="24"/>
          <w:szCs w:val="24"/>
        </w:rPr>
        <w:t xml:space="preserve"> and supported employment in January 2016. </w:t>
      </w:r>
    </w:p>
    <w:p w:rsidR="0089653C" w:rsidRPr="00BD7ADB" w:rsidRDefault="0089653C" w:rsidP="0089653C">
      <w:pPr>
        <w:autoSpaceDE w:val="0"/>
        <w:autoSpaceDN w:val="0"/>
        <w:adjustRightInd w:val="0"/>
        <w:spacing w:after="0" w:line="240" w:lineRule="auto"/>
        <w:rPr>
          <w:rFonts w:ascii="Times New Roman" w:hAnsi="Times New Roman" w:cs="Times New Roman"/>
          <w:color w:val="000000"/>
          <w:sz w:val="24"/>
          <w:szCs w:val="24"/>
        </w:rPr>
      </w:pPr>
    </w:p>
    <w:p w:rsidR="00384E0E" w:rsidRDefault="0089653C" w:rsidP="0089653C">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8409FC">
        <w:rPr>
          <w:rFonts w:ascii="Times New Roman" w:hAnsi="Times New Roman" w:cs="Times New Roman"/>
          <w:color w:val="000000"/>
          <w:sz w:val="24"/>
          <w:szCs w:val="24"/>
        </w:rPr>
        <w:t xml:space="preserve">DDS provided training for </w:t>
      </w:r>
      <w:r>
        <w:rPr>
          <w:rFonts w:ascii="Times New Roman" w:hAnsi="Times New Roman" w:cs="Times New Roman"/>
          <w:color w:val="000000"/>
          <w:sz w:val="24"/>
          <w:szCs w:val="24"/>
        </w:rPr>
        <w:t xml:space="preserve">its own staff and </w:t>
      </w:r>
      <w:r w:rsidRPr="008409FC">
        <w:rPr>
          <w:rFonts w:ascii="Times New Roman" w:hAnsi="Times New Roman" w:cs="Times New Roman"/>
          <w:color w:val="000000"/>
          <w:sz w:val="24"/>
          <w:szCs w:val="24"/>
        </w:rPr>
        <w:t xml:space="preserve">day and vocational provider organizations on the development of </w:t>
      </w:r>
      <w:r>
        <w:rPr>
          <w:rFonts w:ascii="Times New Roman" w:hAnsi="Times New Roman" w:cs="Times New Roman"/>
          <w:color w:val="000000"/>
          <w:sz w:val="24"/>
          <w:szCs w:val="24"/>
        </w:rPr>
        <w:t xml:space="preserve">customized employment </w:t>
      </w:r>
      <w:r w:rsidRPr="008409FC">
        <w:rPr>
          <w:rFonts w:ascii="Times New Roman" w:hAnsi="Times New Roman" w:cs="Times New Roman"/>
          <w:color w:val="000000"/>
          <w:sz w:val="24"/>
          <w:szCs w:val="24"/>
        </w:rPr>
        <w:t xml:space="preserve">Positive Personal Profiles and Job Search and Community Participation Plans. </w:t>
      </w:r>
      <w:r>
        <w:rPr>
          <w:rFonts w:ascii="Times New Roman" w:hAnsi="Times New Roman" w:cs="Times New Roman"/>
          <w:color w:val="000000"/>
          <w:sz w:val="24"/>
          <w:szCs w:val="24"/>
        </w:rPr>
        <w:t xml:space="preserve"> Trainings took place in March and April 2015.  </w:t>
      </w:r>
      <w:r w:rsidRPr="008409FC">
        <w:rPr>
          <w:rFonts w:ascii="Times New Roman" w:hAnsi="Times New Roman" w:cs="Times New Roman"/>
          <w:color w:val="000000"/>
          <w:sz w:val="24"/>
          <w:szCs w:val="24"/>
        </w:rPr>
        <w:t xml:space="preserve">DDS also created an on-line Discovery Toolkit, available at: http://dds.dc.gov/page/discovery-toolkit. </w:t>
      </w:r>
    </w:p>
    <w:p w:rsidR="00384E0E" w:rsidRPr="00384E0E" w:rsidRDefault="00384E0E" w:rsidP="00384E0E">
      <w:pPr>
        <w:pStyle w:val="ListParagraph"/>
        <w:rPr>
          <w:rFonts w:ascii="Times New Roman" w:hAnsi="Times New Roman" w:cs="Times New Roman"/>
          <w:color w:val="000000"/>
          <w:sz w:val="24"/>
          <w:szCs w:val="24"/>
        </w:rPr>
      </w:pPr>
    </w:p>
    <w:p w:rsidR="0089653C" w:rsidRPr="00384E0E" w:rsidRDefault="0089653C" w:rsidP="0089653C">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384E0E">
        <w:rPr>
          <w:rFonts w:ascii="Times New Roman" w:hAnsi="Times New Roman" w:cs="Times New Roman"/>
          <w:color w:val="000000"/>
          <w:sz w:val="24"/>
          <w:szCs w:val="24"/>
        </w:rPr>
        <w:t xml:space="preserve">DDS provided </w:t>
      </w:r>
      <w:r w:rsidRPr="00384E0E">
        <w:rPr>
          <w:rFonts w:ascii="Times New Roman" w:hAnsi="Times New Roman" w:cs="Times New Roman"/>
          <w:color w:val="0D0D0D" w:themeColor="text1" w:themeTint="F2"/>
          <w:sz w:val="24"/>
          <w:szCs w:val="24"/>
        </w:rPr>
        <w:t xml:space="preserve">training and technical support to </w:t>
      </w:r>
      <w:r w:rsidRPr="00384E0E">
        <w:rPr>
          <w:rFonts w:ascii="Times New Roman" w:hAnsi="Times New Roman" w:cs="Times New Roman"/>
          <w:sz w:val="24"/>
          <w:szCs w:val="24"/>
        </w:rPr>
        <w:t xml:space="preserve">facility-based day and employment readiness programs to improve the quality of those programs and to help those providers plan for future business models that support community integrated services.  That training and technical assistance kicked off in March 2015 and continued through September 2015. </w:t>
      </w:r>
    </w:p>
    <w:p w:rsidR="0089653C" w:rsidRDefault="0089653C" w:rsidP="0089653C">
      <w:pPr>
        <w:spacing w:after="0" w:line="240" w:lineRule="auto"/>
        <w:rPr>
          <w:rFonts w:ascii="Roboto-Regular" w:hAnsi="Roboto-Regular" w:cs="Arial"/>
          <w:noProof/>
          <w:sz w:val="20"/>
          <w:szCs w:val="20"/>
        </w:rPr>
      </w:pPr>
    </w:p>
    <w:p w:rsidR="0089653C" w:rsidRDefault="0089653C" w:rsidP="0089653C">
      <w:pPr>
        <w:spacing w:after="0" w:line="240" w:lineRule="auto"/>
        <w:rPr>
          <w:rFonts w:ascii="Roboto-Regular" w:hAnsi="Roboto-Regular" w:cs="Arial"/>
          <w:noProof/>
          <w:sz w:val="20"/>
          <w:szCs w:val="20"/>
        </w:rPr>
      </w:pPr>
    </w:p>
    <w:p w:rsidR="0089653C" w:rsidRDefault="0089653C" w:rsidP="0089653C">
      <w:pPr>
        <w:spacing w:after="0" w:line="240" w:lineRule="auto"/>
        <w:rPr>
          <w:rFonts w:ascii="Roboto-Regular" w:hAnsi="Roboto-Regular" w:cs="Arial"/>
          <w:noProof/>
          <w:sz w:val="20"/>
          <w:szCs w:val="20"/>
        </w:rPr>
      </w:pPr>
    </w:p>
    <w:p w:rsidR="0089653C" w:rsidRDefault="0089653C" w:rsidP="0089653C">
      <w:pPr>
        <w:spacing w:after="0" w:line="240" w:lineRule="auto"/>
        <w:rPr>
          <w:rFonts w:ascii="Roboto-Regular" w:hAnsi="Roboto-Regular" w:cs="Arial"/>
          <w:noProof/>
          <w:sz w:val="20"/>
          <w:szCs w:val="20"/>
        </w:rPr>
      </w:pPr>
    </w:p>
    <w:p w:rsidR="0089653C" w:rsidRDefault="0089653C" w:rsidP="0089653C">
      <w:pPr>
        <w:spacing w:after="0" w:line="240" w:lineRule="auto"/>
        <w:rPr>
          <w:rFonts w:ascii="Roboto-Regular" w:hAnsi="Roboto-Regular" w:cs="Arial"/>
          <w:noProof/>
          <w:sz w:val="20"/>
          <w:szCs w:val="20"/>
        </w:rPr>
      </w:pPr>
    </w:p>
    <w:p w:rsidR="0089653C" w:rsidRDefault="0089653C" w:rsidP="0089653C">
      <w:pPr>
        <w:spacing w:after="0" w:line="240" w:lineRule="auto"/>
        <w:rPr>
          <w:rFonts w:ascii="Roboto-Regular" w:hAnsi="Roboto-Regular" w:cs="Arial"/>
          <w:noProof/>
          <w:sz w:val="20"/>
          <w:szCs w:val="20"/>
        </w:rPr>
      </w:pPr>
    </w:p>
    <w:p w:rsidR="0089653C" w:rsidRDefault="0089653C" w:rsidP="0089653C">
      <w:pPr>
        <w:spacing w:after="0" w:line="240" w:lineRule="auto"/>
        <w:rPr>
          <w:rFonts w:ascii="Roboto-Regular" w:hAnsi="Roboto-Regular" w:cs="Arial"/>
          <w:noProof/>
          <w:sz w:val="20"/>
          <w:szCs w:val="20"/>
        </w:rPr>
      </w:pPr>
    </w:p>
    <w:p w:rsidR="0089653C" w:rsidRDefault="0089653C" w:rsidP="0089653C">
      <w:pPr>
        <w:spacing w:after="0" w:line="240" w:lineRule="auto"/>
        <w:rPr>
          <w:rFonts w:ascii="Roboto-Regular" w:hAnsi="Roboto-Regular" w:cs="Arial"/>
          <w:noProof/>
          <w:sz w:val="20"/>
          <w:szCs w:val="20"/>
        </w:rPr>
      </w:pPr>
    </w:p>
    <w:p w:rsidR="0089653C" w:rsidRDefault="0089653C" w:rsidP="0089653C">
      <w:pPr>
        <w:spacing w:after="0" w:line="240" w:lineRule="auto"/>
        <w:rPr>
          <w:rFonts w:ascii="Roboto-Regular" w:hAnsi="Roboto-Regular" w:cs="Arial"/>
          <w:noProof/>
          <w:sz w:val="20"/>
          <w:szCs w:val="20"/>
        </w:rPr>
      </w:pPr>
    </w:p>
    <w:p w:rsidR="00A604F7" w:rsidRPr="00BD7ADB" w:rsidRDefault="0089653C" w:rsidP="0089653C">
      <w:pPr>
        <w:spacing w:after="0" w:line="240" w:lineRule="auto"/>
        <w:rPr>
          <w:rFonts w:ascii="Times New Roman" w:hAnsi="Times New Roman" w:cs="Times New Roman"/>
          <w:b/>
          <w:sz w:val="24"/>
          <w:szCs w:val="24"/>
        </w:rPr>
      </w:pPr>
      <w:bookmarkStart w:id="0" w:name="_GoBack"/>
      <w:r>
        <w:rPr>
          <w:rFonts w:ascii="Roboto-Regular" w:hAnsi="Roboto-Regular" w:cs="Arial"/>
          <w:noProof/>
          <w:sz w:val="20"/>
          <w:szCs w:val="20"/>
        </w:rPr>
        <w:lastRenderedPageBreak/>
        <w:drawing>
          <wp:inline distT="0" distB="0" distL="0" distR="0" wp14:anchorId="53DCBE20" wp14:editId="5676A8C4">
            <wp:extent cx="1104900" cy="832840"/>
            <wp:effectExtent l="0" t="0" r="0" b="5715"/>
            <wp:docPr id="3" name="Picture 3" descr="Department of Behavior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artment of Behavioral Healt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7519" cy="834814"/>
                    </a:xfrm>
                    <a:prstGeom prst="rect">
                      <a:avLst/>
                    </a:prstGeom>
                    <a:noFill/>
                    <a:ln>
                      <a:noFill/>
                    </a:ln>
                  </pic:spPr>
                </pic:pic>
              </a:graphicData>
            </a:graphic>
          </wp:inline>
        </w:drawing>
      </w:r>
      <w:bookmarkEnd w:id="0"/>
      <w:r w:rsidR="00694677" w:rsidRPr="00BD7ADB">
        <w:rPr>
          <w:rFonts w:ascii="Times New Roman" w:hAnsi="Times New Roman" w:cs="Times New Roman"/>
          <w:b/>
          <w:sz w:val="24"/>
          <w:szCs w:val="24"/>
        </w:rPr>
        <w:t>D</w:t>
      </w:r>
      <w:r w:rsidR="00991B5F" w:rsidRPr="00BD7ADB">
        <w:rPr>
          <w:rFonts w:ascii="Times New Roman" w:hAnsi="Times New Roman" w:cs="Times New Roman"/>
          <w:b/>
          <w:sz w:val="24"/>
          <w:szCs w:val="24"/>
        </w:rPr>
        <w:t>EPARTMENT OF BEHAVIORAL HEALTH</w:t>
      </w:r>
      <w:r w:rsidR="002054E8">
        <w:rPr>
          <w:rFonts w:ascii="Times New Roman" w:hAnsi="Times New Roman" w:cs="Times New Roman"/>
          <w:b/>
          <w:sz w:val="24"/>
          <w:szCs w:val="24"/>
        </w:rPr>
        <w:t xml:space="preserve"> (DBH)</w:t>
      </w:r>
    </w:p>
    <w:p w:rsidR="00F84059" w:rsidRPr="00BD7ADB" w:rsidRDefault="00F84059" w:rsidP="002054E8">
      <w:pPr>
        <w:spacing w:after="0" w:line="240" w:lineRule="auto"/>
        <w:rPr>
          <w:rFonts w:ascii="Times New Roman" w:hAnsi="Times New Roman" w:cs="Times New Roman"/>
          <w:b/>
          <w:sz w:val="24"/>
          <w:szCs w:val="24"/>
          <w:u w:val="single"/>
        </w:rPr>
      </w:pPr>
    </w:p>
    <w:p w:rsidR="00A604F7" w:rsidRPr="00BD7ADB" w:rsidRDefault="00A604F7" w:rsidP="002054E8">
      <w:pPr>
        <w:spacing w:after="0" w:line="240" w:lineRule="auto"/>
        <w:rPr>
          <w:rFonts w:ascii="Times New Roman" w:hAnsi="Times New Roman" w:cs="Times New Roman"/>
          <w:b/>
          <w:sz w:val="24"/>
          <w:szCs w:val="24"/>
          <w:u w:val="single"/>
        </w:rPr>
      </w:pPr>
      <w:proofErr w:type="gramStart"/>
      <w:r w:rsidRPr="00BD7ADB">
        <w:rPr>
          <w:rFonts w:ascii="Times New Roman" w:hAnsi="Times New Roman" w:cs="Times New Roman"/>
          <w:b/>
          <w:sz w:val="24"/>
          <w:szCs w:val="24"/>
          <w:u w:val="single"/>
        </w:rPr>
        <w:t>DBH  Quantitative</w:t>
      </w:r>
      <w:proofErr w:type="gramEnd"/>
      <w:r w:rsidRPr="00BD7ADB">
        <w:rPr>
          <w:rFonts w:ascii="Times New Roman" w:hAnsi="Times New Roman" w:cs="Times New Roman"/>
          <w:b/>
          <w:sz w:val="24"/>
          <w:szCs w:val="24"/>
          <w:u w:val="single"/>
        </w:rPr>
        <w:t xml:space="preserve"> Progress Summary</w:t>
      </w:r>
    </w:p>
    <w:p w:rsidR="008409FC" w:rsidRDefault="008409FC" w:rsidP="002054E8">
      <w:pPr>
        <w:spacing w:after="0" w:line="240" w:lineRule="auto"/>
        <w:rPr>
          <w:rFonts w:ascii="Times New Roman" w:hAnsi="Times New Roman" w:cs="Times New Roman"/>
          <w:color w:val="000000"/>
          <w:sz w:val="24"/>
          <w:szCs w:val="24"/>
        </w:rPr>
      </w:pPr>
    </w:p>
    <w:p w:rsidR="001772D1" w:rsidRPr="00BD7ADB" w:rsidRDefault="00557A13" w:rsidP="002054E8">
      <w:pPr>
        <w:spacing w:after="0" w:line="240" w:lineRule="auto"/>
        <w:rPr>
          <w:rFonts w:ascii="Times New Roman" w:hAnsi="Times New Roman" w:cs="Times New Roman"/>
          <w:color w:val="000000"/>
          <w:sz w:val="24"/>
          <w:szCs w:val="24"/>
        </w:rPr>
      </w:pPr>
      <w:r w:rsidRPr="00557A13">
        <w:rPr>
          <w:rFonts w:ascii="Times New Roman" w:hAnsi="Times New Roman" w:cs="Times New Roman"/>
          <w:b/>
          <w:color w:val="000000"/>
          <w:sz w:val="24"/>
          <w:szCs w:val="24"/>
        </w:rPr>
        <w:t>DBH transitioned ninety nine</w:t>
      </w:r>
      <w:r w:rsidR="004F29D7">
        <w:rPr>
          <w:rFonts w:ascii="Times New Roman" w:hAnsi="Times New Roman" w:cs="Times New Roman"/>
          <w:b/>
          <w:color w:val="000000"/>
          <w:sz w:val="24"/>
          <w:szCs w:val="24"/>
        </w:rPr>
        <w:t xml:space="preserve"> (99)</w:t>
      </w:r>
      <w:r w:rsidRPr="00557A13">
        <w:rPr>
          <w:rFonts w:ascii="Times New Roman" w:hAnsi="Times New Roman" w:cs="Times New Roman"/>
          <w:b/>
          <w:color w:val="000000"/>
          <w:sz w:val="24"/>
          <w:szCs w:val="24"/>
        </w:rPr>
        <w:t xml:space="preserve"> consumers</w:t>
      </w:r>
      <w:r>
        <w:rPr>
          <w:rFonts w:ascii="Times New Roman" w:hAnsi="Times New Roman" w:cs="Times New Roman"/>
          <w:b/>
          <w:color w:val="000000"/>
          <w:sz w:val="24"/>
          <w:szCs w:val="24"/>
        </w:rPr>
        <w:t xml:space="preserve"> into the community</w:t>
      </w:r>
      <w:r>
        <w:rPr>
          <w:rFonts w:ascii="Times New Roman" w:hAnsi="Times New Roman" w:cs="Times New Roman"/>
          <w:color w:val="000000"/>
          <w:sz w:val="24"/>
          <w:szCs w:val="24"/>
        </w:rPr>
        <w:t xml:space="preserve">.  This number </w:t>
      </w:r>
      <w:r w:rsidR="001772D1" w:rsidRPr="00BD7ADB">
        <w:rPr>
          <w:rFonts w:ascii="Times New Roman" w:hAnsi="Times New Roman" w:cs="Times New Roman"/>
          <w:color w:val="000000"/>
          <w:sz w:val="24"/>
          <w:szCs w:val="24"/>
        </w:rPr>
        <w:t xml:space="preserve">includes individuals with a length of stay of 187 days or more were transitioned back to the community from Saint </w:t>
      </w:r>
      <w:proofErr w:type="spellStart"/>
      <w:r w:rsidR="001772D1" w:rsidRPr="00BD7ADB">
        <w:rPr>
          <w:rFonts w:ascii="Times New Roman" w:hAnsi="Times New Roman" w:cs="Times New Roman"/>
          <w:color w:val="000000"/>
          <w:sz w:val="24"/>
          <w:szCs w:val="24"/>
        </w:rPr>
        <w:t>Elizabeths</w:t>
      </w:r>
      <w:proofErr w:type="spellEnd"/>
      <w:r w:rsidR="001772D1" w:rsidRPr="00BD7ADB">
        <w:rPr>
          <w:rFonts w:ascii="Times New Roman" w:hAnsi="Times New Roman" w:cs="Times New Roman"/>
          <w:color w:val="000000"/>
          <w:sz w:val="24"/>
          <w:szCs w:val="24"/>
        </w:rPr>
        <w:t xml:space="preserve"> Hospital, as well as youth who were </w:t>
      </w:r>
      <w:proofErr w:type="gramStart"/>
      <w:r w:rsidR="001772D1" w:rsidRPr="00BD7ADB">
        <w:rPr>
          <w:rFonts w:ascii="Times New Roman" w:hAnsi="Times New Roman" w:cs="Times New Roman"/>
          <w:color w:val="000000"/>
          <w:sz w:val="24"/>
          <w:szCs w:val="24"/>
        </w:rPr>
        <w:t>discharged/transferred</w:t>
      </w:r>
      <w:proofErr w:type="gramEnd"/>
      <w:r w:rsidR="001772D1" w:rsidRPr="00BD7ADB">
        <w:rPr>
          <w:rFonts w:ascii="Times New Roman" w:hAnsi="Times New Roman" w:cs="Times New Roman"/>
          <w:color w:val="000000"/>
          <w:sz w:val="24"/>
          <w:szCs w:val="24"/>
        </w:rPr>
        <w:t xml:space="preserve"> from </w:t>
      </w:r>
      <w:r w:rsidR="00C817FA">
        <w:rPr>
          <w:rFonts w:ascii="Times New Roman" w:hAnsi="Times New Roman" w:cs="Times New Roman"/>
          <w:color w:val="000000"/>
          <w:sz w:val="24"/>
          <w:szCs w:val="24"/>
        </w:rPr>
        <w:t>Psychiatric Resident Treatment Facility (</w:t>
      </w:r>
      <w:r w:rsidR="001772D1" w:rsidRPr="00BD7ADB">
        <w:rPr>
          <w:rFonts w:ascii="Times New Roman" w:hAnsi="Times New Roman" w:cs="Times New Roman"/>
          <w:color w:val="000000"/>
          <w:sz w:val="24"/>
          <w:szCs w:val="24"/>
        </w:rPr>
        <w:t>PRTF</w:t>
      </w:r>
      <w:r w:rsidR="00C817FA">
        <w:rPr>
          <w:rFonts w:ascii="Times New Roman" w:hAnsi="Times New Roman" w:cs="Times New Roman"/>
          <w:color w:val="000000"/>
          <w:sz w:val="24"/>
          <w:szCs w:val="24"/>
        </w:rPr>
        <w:t>)</w:t>
      </w:r>
      <w:r w:rsidR="001772D1" w:rsidRPr="00BD7ADB">
        <w:rPr>
          <w:rFonts w:ascii="Times New Roman" w:hAnsi="Times New Roman" w:cs="Times New Roman"/>
          <w:color w:val="000000"/>
          <w:sz w:val="24"/>
          <w:szCs w:val="24"/>
        </w:rPr>
        <w:t xml:space="preserve"> placements.  </w:t>
      </w:r>
    </w:p>
    <w:p w:rsidR="001772D1" w:rsidRPr="00BD7ADB" w:rsidRDefault="001772D1" w:rsidP="002054E8">
      <w:pPr>
        <w:spacing w:after="0" w:line="240" w:lineRule="auto"/>
        <w:rPr>
          <w:rFonts w:ascii="Times New Roman" w:eastAsia="Times New Roman" w:hAnsi="Times New Roman" w:cs="Times New Roman"/>
          <w:sz w:val="24"/>
          <w:szCs w:val="24"/>
        </w:rPr>
      </w:pPr>
    </w:p>
    <w:p w:rsidR="009F3FEC" w:rsidRPr="00BD7ADB" w:rsidRDefault="00A604F7" w:rsidP="002054E8">
      <w:pPr>
        <w:spacing w:after="0" w:line="240" w:lineRule="auto"/>
        <w:rPr>
          <w:rFonts w:ascii="Times New Roman" w:hAnsi="Times New Roman" w:cs="Times New Roman"/>
          <w:b/>
          <w:sz w:val="24"/>
          <w:szCs w:val="24"/>
          <w:u w:val="single"/>
        </w:rPr>
      </w:pPr>
      <w:r w:rsidRPr="00BD7ADB">
        <w:rPr>
          <w:rFonts w:ascii="Times New Roman" w:hAnsi="Times New Roman" w:cs="Times New Roman"/>
          <w:b/>
          <w:sz w:val="24"/>
          <w:szCs w:val="24"/>
          <w:u w:val="single"/>
        </w:rPr>
        <w:t>DBH Qualitative Progress Summary</w:t>
      </w:r>
    </w:p>
    <w:p w:rsidR="008409FC" w:rsidRDefault="008409FC" w:rsidP="002054E8">
      <w:pPr>
        <w:spacing w:after="0" w:line="240" w:lineRule="auto"/>
        <w:rPr>
          <w:rFonts w:ascii="Times New Roman" w:hAnsi="Times New Roman" w:cs="Times New Roman"/>
          <w:color w:val="000000"/>
          <w:sz w:val="24"/>
          <w:szCs w:val="24"/>
        </w:rPr>
      </w:pPr>
    </w:p>
    <w:p w:rsidR="001772D1" w:rsidRPr="005E69CC" w:rsidRDefault="001772D1" w:rsidP="005E69CC">
      <w:pPr>
        <w:pStyle w:val="ListParagraph"/>
        <w:numPr>
          <w:ilvl w:val="0"/>
          <w:numId w:val="11"/>
        </w:numPr>
        <w:spacing w:after="0" w:line="240" w:lineRule="auto"/>
        <w:rPr>
          <w:rFonts w:ascii="Times New Roman" w:hAnsi="Times New Roman" w:cs="Times New Roman"/>
          <w:color w:val="000000"/>
          <w:sz w:val="24"/>
          <w:szCs w:val="24"/>
        </w:rPr>
      </w:pPr>
      <w:r w:rsidRPr="005E69CC">
        <w:rPr>
          <w:rFonts w:ascii="Times New Roman" w:hAnsi="Times New Roman" w:cs="Times New Roman"/>
          <w:color w:val="000000"/>
          <w:sz w:val="24"/>
          <w:szCs w:val="24"/>
        </w:rPr>
        <w:t xml:space="preserve">In </w:t>
      </w:r>
      <w:r w:rsidR="00A21AB0">
        <w:rPr>
          <w:rFonts w:ascii="Times New Roman" w:hAnsi="Times New Roman" w:cs="Times New Roman"/>
          <w:color w:val="000000"/>
          <w:sz w:val="24"/>
          <w:szCs w:val="24"/>
        </w:rPr>
        <w:t xml:space="preserve">its </w:t>
      </w:r>
      <w:r w:rsidRPr="005E69CC">
        <w:rPr>
          <w:rFonts w:ascii="Times New Roman" w:hAnsi="Times New Roman" w:cs="Times New Roman"/>
          <w:color w:val="000000"/>
          <w:sz w:val="24"/>
          <w:szCs w:val="24"/>
        </w:rPr>
        <w:t>efforts to assist individuals who are transitioning from Saint Elizabeth</w:t>
      </w:r>
      <w:r w:rsidR="00CB74C4">
        <w:rPr>
          <w:rFonts w:ascii="Times New Roman" w:hAnsi="Times New Roman" w:cs="Times New Roman"/>
          <w:color w:val="000000"/>
          <w:sz w:val="24"/>
          <w:szCs w:val="24"/>
        </w:rPr>
        <w:t>’</w:t>
      </w:r>
      <w:r w:rsidRPr="005E69CC">
        <w:rPr>
          <w:rFonts w:ascii="Times New Roman" w:hAnsi="Times New Roman" w:cs="Times New Roman"/>
          <w:color w:val="000000"/>
          <w:sz w:val="24"/>
          <w:szCs w:val="24"/>
        </w:rPr>
        <w:t xml:space="preserve">s Hospital (SEH) to community living, DBH hired and trained eight (8) </w:t>
      </w:r>
      <w:r w:rsidR="005E69CC" w:rsidRPr="005E69CC">
        <w:rPr>
          <w:rFonts w:ascii="Times New Roman" w:hAnsi="Times New Roman" w:cs="Times New Roman"/>
          <w:color w:val="000000"/>
          <w:sz w:val="24"/>
          <w:szCs w:val="24"/>
        </w:rPr>
        <w:t>c</w:t>
      </w:r>
      <w:r w:rsidRPr="005E69CC">
        <w:rPr>
          <w:rFonts w:ascii="Times New Roman" w:hAnsi="Times New Roman" w:cs="Times New Roman"/>
          <w:color w:val="000000"/>
          <w:sz w:val="24"/>
          <w:szCs w:val="24"/>
        </w:rPr>
        <w:t>onsumers of DBH services to work as Transition Specialists/Peer Specialists.  These Transition Specialists utilize their training and lived experience to assist the individuals in care at SEH in making a smooth transition back to community living.</w:t>
      </w:r>
    </w:p>
    <w:p w:rsidR="001772D1" w:rsidRPr="00BD7ADB" w:rsidRDefault="001772D1" w:rsidP="002054E8">
      <w:pPr>
        <w:spacing w:after="0" w:line="240" w:lineRule="auto"/>
        <w:rPr>
          <w:rFonts w:ascii="Times New Roman" w:hAnsi="Times New Roman" w:cs="Times New Roman"/>
          <w:color w:val="000000"/>
          <w:sz w:val="24"/>
          <w:szCs w:val="24"/>
        </w:rPr>
      </w:pPr>
    </w:p>
    <w:p w:rsidR="001772D1" w:rsidRPr="005E69CC" w:rsidRDefault="004F29D7" w:rsidP="005E69CC">
      <w:pPr>
        <w:pStyle w:val="ListParagraph"/>
        <w:numPr>
          <w:ilvl w:val="0"/>
          <w:numId w:val="1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DBH also had </w:t>
      </w:r>
      <w:r w:rsidR="00C817FA">
        <w:rPr>
          <w:rFonts w:ascii="Times New Roman" w:hAnsi="Times New Roman" w:cs="Times New Roman"/>
          <w:color w:val="000000"/>
          <w:sz w:val="24"/>
          <w:szCs w:val="24"/>
        </w:rPr>
        <w:t xml:space="preserve">in-services for the </w:t>
      </w:r>
      <w:r w:rsidR="005E69CC" w:rsidRPr="005E69CC">
        <w:rPr>
          <w:rFonts w:ascii="Times New Roman" w:hAnsi="Times New Roman" w:cs="Times New Roman"/>
          <w:color w:val="000000"/>
          <w:sz w:val="24"/>
          <w:szCs w:val="24"/>
        </w:rPr>
        <w:t>s</w:t>
      </w:r>
      <w:r w:rsidR="001772D1" w:rsidRPr="005E69CC">
        <w:rPr>
          <w:rFonts w:ascii="Times New Roman" w:hAnsi="Times New Roman" w:cs="Times New Roman"/>
          <w:color w:val="000000"/>
          <w:sz w:val="24"/>
          <w:szCs w:val="24"/>
        </w:rPr>
        <w:t xml:space="preserve">ummer class of the Peer Specialist Certification Training (PSCT). These individuals, once certified will provide peer support to other </w:t>
      </w:r>
      <w:r w:rsidR="00C817FA">
        <w:rPr>
          <w:rFonts w:ascii="Times New Roman" w:hAnsi="Times New Roman" w:cs="Times New Roman"/>
          <w:color w:val="000000"/>
          <w:sz w:val="24"/>
          <w:szCs w:val="24"/>
        </w:rPr>
        <w:t>c</w:t>
      </w:r>
      <w:r w:rsidR="001772D1" w:rsidRPr="005E69CC">
        <w:rPr>
          <w:rFonts w:ascii="Times New Roman" w:hAnsi="Times New Roman" w:cs="Times New Roman"/>
          <w:color w:val="000000"/>
          <w:sz w:val="24"/>
          <w:szCs w:val="24"/>
        </w:rPr>
        <w:t xml:space="preserve">onsumers of behavioral health services in their efforts to live successfully in the communities of their choice.  The PSCT began on June 29, 2015 and </w:t>
      </w:r>
      <w:r w:rsidR="00A21AB0">
        <w:rPr>
          <w:rFonts w:ascii="Times New Roman" w:hAnsi="Times New Roman" w:cs="Times New Roman"/>
          <w:color w:val="000000"/>
          <w:sz w:val="24"/>
          <w:szCs w:val="24"/>
        </w:rPr>
        <w:t>eighteen (</w:t>
      </w:r>
      <w:r w:rsidR="001772D1" w:rsidRPr="005E69CC">
        <w:rPr>
          <w:rFonts w:ascii="Times New Roman" w:hAnsi="Times New Roman" w:cs="Times New Roman"/>
          <w:color w:val="000000"/>
          <w:sz w:val="24"/>
          <w:szCs w:val="24"/>
        </w:rPr>
        <w:t>18</w:t>
      </w:r>
      <w:r w:rsidR="00A21AB0">
        <w:rPr>
          <w:rFonts w:ascii="Times New Roman" w:hAnsi="Times New Roman" w:cs="Times New Roman"/>
          <w:color w:val="000000"/>
          <w:sz w:val="24"/>
          <w:szCs w:val="24"/>
        </w:rPr>
        <w:t>)</w:t>
      </w:r>
      <w:r w:rsidR="001772D1" w:rsidRPr="005E69CC">
        <w:rPr>
          <w:rFonts w:ascii="Times New Roman" w:hAnsi="Times New Roman" w:cs="Times New Roman"/>
          <w:color w:val="000000"/>
          <w:sz w:val="24"/>
          <w:szCs w:val="24"/>
        </w:rPr>
        <w:t xml:space="preserve"> individuals, including family members of children and youth in the DBH system, were certified as Peer Specialists in September. </w:t>
      </w:r>
    </w:p>
    <w:p w:rsidR="001772D1" w:rsidRPr="00BD7ADB" w:rsidRDefault="001772D1" w:rsidP="002054E8">
      <w:pPr>
        <w:spacing w:after="0" w:line="240" w:lineRule="auto"/>
        <w:rPr>
          <w:rFonts w:ascii="Times New Roman" w:hAnsi="Times New Roman" w:cs="Times New Roman"/>
          <w:color w:val="000000"/>
          <w:sz w:val="24"/>
          <w:szCs w:val="24"/>
        </w:rPr>
      </w:pPr>
    </w:p>
    <w:p w:rsidR="001772D1" w:rsidRPr="005E69CC" w:rsidRDefault="001772D1" w:rsidP="005E69CC">
      <w:pPr>
        <w:pStyle w:val="ListParagraph"/>
        <w:numPr>
          <w:ilvl w:val="0"/>
          <w:numId w:val="11"/>
        </w:numPr>
        <w:spacing w:after="0" w:line="240" w:lineRule="auto"/>
        <w:rPr>
          <w:rFonts w:ascii="Times New Roman" w:hAnsi="Times New Roman" w:cs="Times New Roman"/>
          <w:color w:val="000000"/>
          <w:sz w:val="24"/>
          <w:szCs w:val="24"/>
        </w:rPr>
      </w:pPr>
      <w:r w:rsidRPr="005E69CC">
        <w:rPr>
          <w:rFonts w:ascii="Times New Roman" w:hAnsi="Times New Roman" w:cs="Times New Roman"/>
          <w:color w:val="000000"/>
          <w:sz w:val="24"/>
          <w:szCs w:val="24"/>
        </w:rPr>
        <w:t xml:space="preserve">To support community integration of individuals discharged from institutions, DBH collaborates with other District agencies to offer a session called </w:t>
      </w:r>
      <w:r w:rsidRPr="00A21AB0">
        <w:rPr>
          <w:rFonts w:ascii="Times New Roman" w:hAnsi="Times New Roman" w:cs="Times New Roman"/>
          <w:i/>
          <w:color w:val="000000"/>
          <w:sz w:val="24"/>
          <w:szCs w:val="24"/>
        </w:rPr>
        <w:t>Family Talk</w:t>
      </w:r>
      <w:r w:rsidRPr="005E69CC">
        <w:rPr>
          <w:rFonts w:ascii="Times New Roman" w:hAnsi="Times New Roman" w:cs="Times New Roman"/>
          <w:color w:val="000000"/>
          <w:sz w:val="24"/>
          <w:szCs w:val="24"/>
        </w:rPr>
        <w:t>, which inform</w:t>
      </w:r>
      <w:r w:rsidR="00C817FA">
        <w:rPr>
          <w:rFonts w:ascii="Times New Roman" w:hAnsi="Times New Roman" w:cs="Times New Roman"/>
          <w:color w:val="000000"/>
          <w:sz w:val="24"/>
          <w:szCs w:val="24"/>
        </w:rPr>
        <w:t>s</w:t>
      </w:r>
      <w:r w:rsidRPr="005E69CC">
        <w:rPr>
          <w:rFonts w:ascii="Times New Roman" w:hAnsi="Times New Roman" w:cs="Times New Roman"/>
          <w:color w:val="000000"/>
          <w:sz w:val="24"/>
          <w:szCs w:val="24"/>
        </w:rPr>
        <w:t xml:space="preserve"> parents of PRTF treatment, discharge and community based services.  These sessions </w:t>
      </w:r>
      <w:r w:rsidR="00C817FA">
        <w:rPr>
          <w:rFonts w:ascii="Times New Roman" w:hAnsi="Times New Roman" w:cs="Times New Roman"/>
          <w:color w:val="000000"/>
          <w:sz w:val="24"/>
          <w:szCs w:val="24"/>
        </w:rPr>
        <w:t>are</w:t>
      </w:r>
      <w:r w:rsidRPr="005E69CC">
        <w:rPr>
          <w:rFonts w:ascii="Times New Roman" w:hAnsi="Times New Roman" w:cs="Times New Roman"/>
          <w:color w:val="000000"/>
          <w:sz w:val="24"/>
          <w:szCs w:val="24"/>
        </w:rPr>
        <w:t xml:space="preserve"> supported by numerous agencies (including DCPS, DYRS, OSSE, CFSA, and DHCF). </w:t>
      </w:r>
    </w:p>
    <w:p w:rsidR="001772D1" w:rsidRPr="00BD7ADB" w:rsidRDefault="001772D1" w:rsidP="002054E8">
      <w:pPr>
        <w:spacing w:after="0" w:line="240" w:lineRule="auto"/>
        <w:rPr>
          <w:rFonts w:ascii="Times New Roman" w:hAnsi="Times New Roman" w:cs="Times New Roman"/>
          <w:color w:val="000000"/>
          <w:sz w:val="24"/>
          <w:szCs w:val="24"/>
        </w:rPr>
      </w:pPr>
    </w:p>
    <w:p w:rsidR="001772D1" w:rsidRPr="005E69CC" w:rsidRDefault="001772D1" w:rsidP="005E69CC">
      <w:pPr>
        <w:pStyle w:val="ListParagraph"/>
        <w:numPr>
          <w:ilvl w:val="0"/>
          <w:numId w:val="11"/>
        </w:numPr>
        <w:spacing w:after="0" w:line="240" w:lineRule="auto"/>
        <w:rPr>
          <w:rFonts w:ascii="Times New Roman" w:hAnsi="Times New Roman" w:cs="Times New Roman"/>
          <w:color w:val="000000"/>
          <w:sz w:val="24"/>
          <w:szCs w:val="24"/>
        </w:rPr>
      </w:pPr>
      <w:r w:rsidRPr="005E69CC">
        <w:rPr>
          <w:rFonts w:ascii="Times New Roman" w:hAnsi="Times New Roman" w:cs="Times New Roman"/>
          <w:color w:val="000000"/>
          <w:sz w:val="24"/>
          <w:szCs w:val="24"/>
        </w:rPr>
        <w:t xml:space="preserve">As part of </w:t>
      </w:r>
      <w:r w:rsidR="00A21AB0">
        <w:rPr>
          <w:rFonts w:ascii="Times New Roman" w:hAnsi="Times New Roman" w:cs="Times New Roman"/>
          <w:color w:val="000000"/>
          <w:sz w:val="24"/>
          <w:szCs w:val="24"/>
        </w:rPr>
        <w:t>its</w:t>
      </w:r>
      <w:r w:rsidRPr="005E69CC">
        <w:rPr>
          <w:rFonts w:ascii="Times New Roman" w:hAnsi="Times New Roman" w:cs="Times New Roman"/>
          <w:color w:val="000000"/>
          <w:sz w:val="24"/>
          <w:szCs w:val="24"/>
        </w:rPr>
        <w:t xml:space="preserve"> outreach efforts to the community, DBH, in collaboration with the D.C. O</w:t>
      </w:r>
      <w:r w:rsidR="00A21AB0">
        <w:rPr>
          <w:rFonts w:ascii="Times New Roman" w:hAnsi="Times New Roman" w:cs="Times New Roman"/>
          <w:color w:val="000000"/>
          <w:sz w:val="24"/>
          <w:szCs w:val="24"/>
        </w:rPr>
        <w:t xml:space="preserve">ffice of Disability Rights (ODR), </w:t>
      </w:r>
      <w:r w:rsidRPr="005E69CC">
        <w:rPr>
          <w:rFonts w:ascii="Times New Roman" w:hAnsi="Times New Roman" w:cs="Times New Roman"/>
          <w:color w:val="000000"/>
          <w:sz w:val="24"/>
          <w:szCs w:val="24"/>
        </w:rPr>
        <w:t>host</w:t>
      </w:r>
      <w:r w:rsidR="00A21AB0">
        <w:rPr>
          <w:rFonts w:ascii="Times New Roman" w:hAnsi="Times New Roman" w:cs="Times New Roman"/>
          <w:color w:val="000000"/>
          <w:sz w:val="24"/>
          <w:szCs w:val="24"/>
        </w:rPr>
        <w:t>ed</w:t>
      </w:r>
      <w:r w:rsidRPr="005E69CC">
        <w:rPr>
          <w:rFonts w:ascii="Times New Roman" w:hAnsi="Times New Roman" w:cs="Times New Roman"/>
          <w:color w:val="000000"/>
          <w:sz w:val="24"/>
          <w:szCs w:val="24"/>
        </w:rPr>
        <w:t xml:space="preserve"> the Annual </w:t>
      </w:r>
      <w:r w:rsidRPr="005E69CC">
        <w:rPr>
          <w:rFonts w:ascii="Times New Roman" w:hAnsi="Times New Roman" w:cs="Times New Roman"/>
          <w:color w:val="000000"/>
          <w:sz w:val="24"/>
          <w:szCs w:val="24"/>
          <w:u w:val="single"/>
        </w:rPr>
        <w:t>Olmstead</w:t>
      </w:r>
      <w:r w:rsidRPr="005E69CC">
        <w:rPr>
          <w:rFonts w:ascii="Times New Roman" w:hAnsi="Times New Roman" w:cs="Times New Roman"/>
          <w:color w:val="000000"/>
          <w:sz w:val="24"/>
          <w:szCs w:val="24"/>
        </w:rPr>
        <w:t xml:space="preserve">/Community Integration Conference.  </w:t>
      </w:r>
      <w:r w:rsidR="00C817FA">
        <w:rPr>
          <w:rFonts w:ascii="Times New Roman" w:hAnsi="Times New Roman" w:cs="Times New Roman"/>
          <w:color w:val="000000"/>
          <w:sz w:val="24"/>
          <w:szCs w:val="24"/>
        </w:rPr>
        <w:t>Since</w:t>
      </w:r>
      <w:r w:rsidR="00C32BEB" w:rsidRPr="005E69CC">
        <w:rPr>
          <w:rFonts w:ascii="Times New Roman" w:hAnsi="Times New Roman" w:cs="Times New Roman"/>
          <w:color w:val="000000"/>
          <w:sz w:val="24"/>
          <w:szCs w:val="24"/>
        </w:rPr>
        <w:t xml:space="preserve"> May</w:t>
      </w:r>
      <w:r w:rsidRPr="005E69CC">
        <w:rPr>
          <w:rFonts w:ascii="Times New Roman" w:hAnsi="Times New Roman" w:cs="Times New Roman"/>
          <w:color w:val="000000"/>
          <w:sz w:val="24"/>
          <w:szCs w:val="24"/>
        </w:rPr>
        <w:t xml:space="preserve"> is Mental Health Awareness Month, this Conference was held on May 28, 2015.  DBH reached at least </w:t>
      </w:r>
      <w:r w:rsidR="00C817FA">
        <w:rPr>
          <w:rFonts w:ascii="Times New Roman" w:hAnsi="Times New Roman" w:cs="Times New Roman"/>
          <w:color w:val="000000"/>
          <w:sz w:val="24"/>
          <w:szCs w:val="24"/>
        </w:rPr>
        <w:t>one hundred (</w:t>
      </w:r>
      <w:r w:rsidRPr="005E69CC">
        <w:rPr>
          <w:rFonts w:ascii="Times New Roman" w:hAnsi="Times New Roman" w:cs="Times New Roman"/>
          <w:color w:val="000000"/>
          <w:sz w:val="24"/>
          <w:szCs w:val="24"/>
        </w:rPr>
        <w:t>100</w:t>
      </w:r>
      <w:r w:rsidR="00C817FA">
        <w:rPr>
          <w:rFonts w:ascii="Times New Roman" w:hAnsi="Times New Roman" w:cs="Times New Roman"/>
          <w:color w:val="000000"/>
          <w:sz w:val="24"/>
          <w:szCs w:val="24"/>
        </w:rPr>
        <w:t>)</w:t>
      </w:r>
      <w:r w:rsidRPr="005E69CC">
        <w:rPr>
          <w:rFonts w:ascii="Times New Roman" w:hAnsi="Times New Roman" w:cs="Times New Roman"/>
          <w:color w:val="000000"/>
          <w:sz w:val="24"/>
          <w:szCs w:val="24"/>
        </w:rPr>
        <w:t xml:space="preserve"> </w:t>
      </w:r>
      <w:r w:rsidR="00A21AB0">
        <w:rPr>
          <w:rFonts w:ascii="Times New Roman" w:hAnsi="Times New Roman" w:cs="Times New Roman"/>
          <w:color w:val="000000"/>
          <w:sz w:val="24"/>
          <w:szCs w:val="24"/>
        </w:rPr>
        <w:t>c</w:t>
      </w:r>
      <w:r w:rsidRPr="005E69CC">
        <w:rPr>
          <w:rFonts w:ascii="Times New Roman" w:hAnsi="Times New Roman" w:cs="Times New Roman"/>
          <w:color w:val="000000"/>
          <w:sz w:val="24"/>
          <w:szCs w:val="24"/>
        </w:rPr>
        <w:t xml:space="preserve">onsumers </w:t>
      </w:r>
      <w:r w:rsidR="00C817FA">
        <w:rPr>
          <w:rFonts w:ascii="Times New Roman" w:hAnsi="Times New Roman" w:cs="Times New Roman"/>
          <w:color w:val="000000"/>
          <w:sz w:val="24"/>
          <w:szCs w:val="24"/>
        </w:rPr>
        <w:t xml:space="preserve">informing them </w:t>
      </w:r>
      <w:r w:rsidRPr="005E69CC">
        <w:rPr>
          <w:rFonts w:ascii="Times New Roman" w:hAnsi="Times New Roman" w:cs="Times New Roman"/>
          <w:color w:val="000000"/>
          <w:sz w:val="24"/>
          <w:szCs w:val="24"/>
        </w:rPr>
        <w:t xml:space="preserve">of the myriad of community services/events available </w:t>
      </w:r>
      <w:r w:rsidR="00C817FA">
        <w:rPr>
          <w:rFonts w:ascii="Times New Roman" w:hAnsi="Times New Roman" w:cs="Times New Roman"/>
          <w:color w:val="000000"/>
          <w:sz w:val="24"/>
          <w:szCs w:val="24"/>
        </w:rPr>
        <w:t xml:space="preserve">to </w:t>
      </w:r>
      <w:r w:rsidRPr="005E69CC">
        <w:rPr>
          <w:rFonts w:ascii="Times New Roman" w:hAnsi="Times New Roman" w:cs="Times New Roman"/>
          <w:color w:val="000000"/>
          <w:sz w:val="24"/>
          <w:szCs w:val="24"/>
        </w:rPr>
        <w:t xml:space="preserve">enhance their quality of life and support successful community living.  Also, in September, in recognition of National Recovery Month, DBH sponsored a community conference to support recovery.  Approximately </w:t>
      </w:r>
      <w:r w:rsidR="00A21AB0">
        <w:rPr>
          <w:rFonts w:ascii="Times New Roman" w:hAnsi="Times New Roman" w:cs="Times New Roman"/>
          <w:color w:val="000000"/>
          <w:sz w:val="24"/>
          <w:szCs w:val="24"/>
        </w:rPr>
        <w:t>eight five (</w:t>
      </w:r>
      <w:r w:rsidRPr="005E69CC">
        <w:rPr>
          <w:rFonts w:ascii="Times New Roman" w:hAnsi="Times New Roman" w:cs="Times New Roman"/>
          <w:color w:val="000000"/>
          <w:sz w:val="24"/>
          <w:szCs w:val="24"/>
        </w:rPr>
        <w:t>85</w:t>
      </w:r>
      <w:r w:rsidR="00A21AB0">
        <w:rPr>
          <w:rFonts w:ascii="Times New Roman" w:hAnsi="Times New Roman" w:cs="Times New Roman"/>
          <w:color w:val="000000"/>
          <w:sz w:val="24"/>
          <w:szCs w:val="24"/>
        </w:rPr>
        <w:t>)</w:t>
      </w:r>
      <w:r w:rsidRPr="005E69CC">
        <w:rPr>
          <w:rFonts w:ascii="Times New Roman" w:hAnsi="Times New Roman" w:cs="Times New Roman"/>
          <w:color w:val="000000"/>
          <w:sz w:val="24"/>
          <w:szCs w:val="24"/>
        </w:rPr>
        <w:t xml:space="preserve"> individuals attended this conference to share their stories of recovery and to support others who are struggling with their recovery efforts.</w:t>
      </w:r>
    </w:p>
    <w:p w:rsidR="001772D1" w:rsidRPr="00BD7ADB" w:rsidRDefault="001772D1" w:rsidP="002054E8">
      <w:pPr>
        <w:spacing w:after="0" w:line="240" w:lineRule="auto"/>
        <w:rPr>
          <w:rFonts w:ascii="Times New Roman" w:hAnsi="Times New Roman" w:cs="Times New Roman"/>
          <w:color w:val="000000"/>
          <w:sz w:val="24"/>
          <w:szCs w:val="24"/>
        </w:rPr>
      </w:pPr>
    </w:p>
    <w:p w:rsidR="001772D1" w:rsidRPr="005E69CC" w:rsidRDefault="001772D1" w:rsidP="005E69CC">
      <w:pPr>
        <w:pStyle w:val="ListParagraph"/>
        <w:numPr>
          <w:ilvl w:val="0"/>
          <w:numId w:val="11"/>
        </w:numPr>
        <w:spacing w:after="0" w:line="240" w:lineRule="auto"/>
        <w:rPr>
          <w:rFonts w:ascii="Times New Roman" w:hAnsi="Times New Roman" w:cs="Times New Roman"/>
          <w:color w:val="000000"/>
          <w:sz w:val="24"/>
          <w:szCs w:val="24"/>
        </w:rPr>
      </w:pPr>
      <w:r w:rsidRPr="005E69CC">
        <w:rPr>
          <w:rFonts w:ascii="Times New Roman" w:hAnsi="Times New Roman" w:cs="Times New Roman"/>
          <w:color w:val="000000"/>
          <w:sz w:val="24"/>
          <w:szCs w:val="24"/>
        </w:rPr>
        <w:t xml:space="preserve">DBH works with several community groups such as the Consumer Action Network (CAN), National Alliance on Mental Illness (NAMI-DC), and the Total Family Care </w:t>
      </w:r>
      <w:r w:rsidRPr="005E69CC">
        <w:rPr>
          <w:rFonts w:ascii="Times New Roman" w:hAnsi="Times New Roman" w:cs="Times New Roman"/>
          <w:color w:val="000000"/>
          <w:sz w:val="24"/>
          <w:szCs w:val="24"/>
        </w:rPr>
        <w:lastRenderedPageBreak/>
        <w:t>Coalition (TFCC), to provide information on services and supports available through the DBH network of care.</w:t>
      </w:r>
    </w:p>
    <w:p w:rsidR="009F3FEC" w:rsidRDefault="009F3FEC" w:rsidP="002054E8">
      <w:pPr>
        <w:spacing w:after="0" w:line="240" w:lineRule="auto"/>
        <w:rPr>
          <w:rFonts w:ascii="Times New Roman" w:hAnsi="Times New Roman" w:cs="Times New Roman"/>
          <w:b/>
          <w:sz w:val="24"/>
          <w:szCs w:val="24"/>
          <w:u w:val="single"/>
        </w:rPr>
      </w:pPr>
    </w:p>
    <w:p w:rsidR="00CB74C4" w:rsidRPr="00BD7ADB" w:rsidRDefault="00CB74C4" w:rsidP="002054E8">
      <w:pPr>
        <w:spacing w:after="0" w:line="240" w:lineRule="auto"/>
        <w:rPr>
          <w:rFonts w:ascii="Times New Roman" w:hAnsi="Times New Roman" w:cs="Times New Roman"/>
          <w:b/>
          <w:sz w:val="24"/>
          <w:szCs w:val="24"/>
          <w:u w:val="single"/>
        </w:rPr>
      </w:pPr>
    </w:p>
    <w:p w:rsidR="00F37331" w:rsidRPr="00BD7ADB" w:rsidRDefault="002054E8" w:rsidP="00557A13">
      <w:pPr>
        <w:spacing w:after="0" w:line="240" w:lineRule="auto"/>
        <w:textAlignment w:val="baseline"/>
        <w:rPr>
          <w:rFonts w:ascii="Times New Roman" w:hAnsi="Times New Roman" w:cs="Times New Roman"/>
          <w:b/>
          <w:sz w:val="24"/>
          <w:szCs w:val="24"/>
        </w:rPr>
      </w:pPr>
      <w:r>
        <w:rPr>
          <w:rFonts w:ascii="Roboto-Regular" w:eastAsia="Times New Roman" w:hAnsi="Roboto-Regular" w:cs="Arial"/>
          <w:noProof/>
          <w:sz w:val="20"/>
          <w:szCs w:val="20"/>
        </w:rPr>
        <w:drawing>
          <wp:inline distT="0" distB="0" distL="0" distR="0" wp14:anchorId="6982F5E8" wp14:editId="6020B260">
            <wp:extent cx="1085850" cy="818480"/>
            <wp:effectExtent l="0" t="0" r="0" b="1270"/>
            <wp:docPr id="4" name="Picture 4" descr="DHCF, the Department of Health Care Finance, invest in your health with four figures i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HCF, the Department of Health Care Finance, invest in your health with four figures in ce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0500" cy="821985"/>
                    </a:xfrm>
                    <a:prstGeom prst="rect">
                      <a:avLst/>
                    </a:prstGeom>
                    <a:noFill/>
                    <a:ln>
                      <a:noFill/>
                    </a:ln>
                  </pic:spPr>
                </pic:pic>
              </a:graphicData>
            </a:graphic>
          </wp:inline>
        </w:drawing>
      </w:r>
      <w:r w:rsidR="00F84059" w:rsidRPr="00BD7ADB">
        <w:rPr>
          <w:rFonts w:ascii="Times New Roman" w:hAnsi="Times New Roman" w:cs="Times New Roman"/>
          <w:b/>
          <w:sz w:val="24"/>
          <w:szCs w:val="24"/>
        </w:rPr>
        <w:t>DEPARTMENT OF HEALTHCARE FINANCE</w:t>
      </w:r>
      <w:r>
        <w:rPr>
          <w:rFonts w:ascii="Times New Roman" w:hAnsi="Times New Roman" w:cs="Times New Roman"/>
          <w:b/>
          <w:sz w:val="24"/>
          <w:szCs w:val="24"/>
        </w:rPr>
        <w:t xml:space="preserve"> (DHCF)</w:t>
      </w:r>
    </w:p>
    <w:p w:rsidR="00F84059" w:rsidRPr="00BD7ADB" w:rsidRDefault="00F84059" w:rsidP="002054E8">
      <w:pPr>
        <w:spacing w:after="0" w:line="240" w:lineRule="auto"/>
        <w:rPr>
          <w:rFonts w:ascii="Times New Roman" w:hAnsi="Times New Roman" w:cs="Times New Roman"/>
          <w:b/>
          <w:sz w:val="24"/>
          <w:szCs w:val="24"/>
        </w:rPr>
      </w:pPr>
    </w:p>
    <w:p w:rsidR="000159B2" w:rsidRPr="00BD7ADB" w:rsidRDefault="000159B2" w:rsidP="000159B2">
      <w:pPr>
        <w:spacing w:after="0" w:line="240" w:lineRule="auto"/>
        <w:rPr>
          <w:rFonts w:ascii="Times New Roman" w:hAnsi="Times New Roman" w:cs="Times New Roman"/>
          <w:b/>
          <w:sz w:val="24"/>
          <w:szCs w:val="24"/>
          <w:u w:val="single"/>
        </w:rPr>
      </w:pPr>
      <w:r w:rsidRPr="00BD7ADB">
        <w:rPr>
          <w:rFonts w:ascii="Times New Roman" w:hAnsi="Times New Roman" w:cs="Times New Roman"/>
          <w:b/>
          <w:sz w:val="24"/>
          <w:szCs w:val="24"/>
          <w:u w:val="single"/>
        </w:rPr>
        <w:t>DHCF Quantitative Progress Summary</w:t>
      </w:r>
    </w:p>
    <w:p w:rsidR="000159B2" w:rsidRDefault="000159B2" w:rsidP="000159B2">
      <w:pPr>
        <w:spacing w:after="0" w:line="240" w:lineRule="auto"/>
        <w:rPr>
          <w:rFonts w:ascii="Times New Roman" w:hAnsi="Times New Roman" w:cs="Times New Roman"/>
          <w:color w:val="000000"/>
          <w:sz w:val="24"/>
          <w:szCs w:val="24"/>
        </w:rPr>
      </w:pPr>
    </w:p>
    <w:p w:rsidR="000159B2" w:rsidRPr="00BD7ADB" w:rsidRDefault="000159B2" w:rsidP="000159B2">
      <w:pPr>
        <w:spacing w:after="0" w:line="240" w:lineRule="auto"/>
        <w:rPr>
          <w:rFonts w:ascii="Times New Roman" w:hAnsi="Times New Roman" w:cs="Times New Roman"/>
          <w:sz w:val="24"/>
          <w:szCs w:val="24"/>
          <w:u w:val="single"/>
        </w:rPr>
      </w:pPr>
      <w:r w:rsidRPr="00557A13">
        <w:rPr>
          <w:rFonts w:ascii="Times New Roman" w:hAnsi="Times New Roman" w:cs="Times New Roman"/>
          <w:b/>
          <w:color w:val="000000"/>
          <w:sz w:val="24"/>
          <w:szCs w:val="24"/>
        </w:rPr>
        <w:t xml:space="preserve">DHCF transitioned thirty </w:t>
      </w:r>
      <w:r>
        <w:rPr>
          <w:rFonts w:ascii="Times New Roman" w:hAnsi="Times New Roman" w:cs="Times New Roman"/>
          <w:b/>
          <w:color w:val="000000"/>
          <w:sz w:val="24"/>
          <w:szCs w:val="24"/>
        </w:rPr>
        <w:t>two</w:t>
      </w:r>
      <w:r w:rsidRPr="00557A13">
        <w:rPr>
          <w:rFonts w:ascii="Times New Roman" w:hAnsi="Times New Roman" w:cs="Times New Roman"/>
          <w:b/>
          <w:color w:val="000000"/>
          <w:sz w:val="24"/>
          <w:szCs w:val="24"/>
        </w:rPr>
        <w:t xml:space="preserve"> (3</w:t>
      </w:r>
      <w:r>
        <w:rPr>
          <w:rFonts w:ascii="Times New Roman" w:hAnsi="Times New Roman" w:cs="Times New Roman"/>
          <w:b/>
          <w:color w:val="000000"/>
          <w:sz w:val="24"/>
          <w:szCs w:val="24"/>
        </w:rPr>
        <w:t>2</w:t>
      </w:r>
      <w:r w:rsidRPr="00557A13">
        <w:rPr>
          <w:rFonts w:ascii="Times New Roman" w:hAnsi="Times New Roman" w:cs="Times New Roman"/>
          <w:b/>
          <w:color w:val="000000"/>
          <w:sz w:val="24"/>
          <w:szCs w:val="24"/>
        </w:rPr>
        <w:t xml:space="preserve">) consumers into the community. </w:t>
      </w:r>
      <w:r>
        <w:rPr>
          <w:rFonts w:ascii="Times New Roman" w:hAnsi="Times New Roman" w:cs="Times New Roman"/>
          <w:color w:val="000000"/>
          <w:sz w:val="24"/>
          <w:szCs w:val="24"/>
        </w:rPr>
        <w:t xml:space="preserve">This number </w:t>
      </w:r>
      <w:r w:rsidRPr="00BD7ADB">
        <w:rPr>
          <w:rFonts w:ascii="Times New Roman" w:hAnsi="Times New Roman" w:cs="Times New Roman"/>
          <w:color w:val="000000"/>
          <w:sz w:val="24"/>
          <w:szCs w:val="24"/>
        </w:rPr>
        <w:t>reflects transitions based on claims data from nursing facilities, rehabilitative facilities and hospitals and home and community-based Personal Care Aide (PCA) service providers. The figure includes all beneficiaries who started PCA services within 60 days of discharge from a nursing facility or hospital after a stay of at least 90 days</w:t>
      </w:r>
      <w:r>
        <w:rPr>
          <w:rFonts w:ascii="Times New Roman" w:hAnsi="Times New Roman" w:cs="Times New Roman"/>
          <w:color w:val="000000"/>
          <w:sz w:val="24"/>
          <w:szCs w:val="24"/>
        </w:rPr>
        <w:t xml:space="preserve">. These individuals did </w:t>
      </w:r>
      <w:r w:rsidRPr="00BD7ADB">
        <w:rPr>
          <w:rFonts w:ascii="Times New Roman" w:hAnsi="Times New Roman" w:cs="Times New Roman"/>
          <w:color w:val="000000"/>
          <w:sz w:val="24"/>
          <w:szCs w:val="24"/>
        </w:rPr>
        <w:t>not receive transition services from the DC Office on Aging.</w:t>
      </w:r>
      <w:r>
        <w:rPr>
          <w:rFonts w:ascii="Times New Roman" w:hAnsi="Times New Roman" w:cs="Times New Roman"/>
          <w:color w:val="000000"/>
          <w:sz w:val="24"/>
          <w:szCs w:val="24"/>
          <w:highlight w:val="yellow"/>
        </w:rPr>
        <w:t xml:space="preserve"> </w:t>
      </w:r>
    </w:p>
    <w:p w:rsidR="000159B2" w:rsidRPr="00BD7ADB" w:rsidRDefault="000159B2" w:rsidP="000159B2">
      <w:pPr>
        <w:spacing w:after="0" w:line="240" w:lineRule="auto"/>
        <w:rPr>
          <w:rFonts w:ascii="Times New Roman" w:hAnsi="Times New Roman" w:cs="Times New Roman"/>
          <w:b/>
          <w:sz w:val="24"/>
          <w:szCs w:val="24"/>
          <w:u w:val="single"/>
        </w:rPr>
      </w:pPr>
    </w:p>
    <w:p w:rsidR="000159B2" w:rsidRPr="00BD7ADB" w:rsidRDefault="000159B2" w:rsidP="000159B2">
      <w:pPr>
        <w:spacing w:after="0" w:line="240" w:lineRule="auto"/>
        <w:rPr>
          <w:rFonts w:ascii="Times New Roman" w:hAnsi="Times New Roman" w:cs="Times New Roman"/>
          <w:color w:val="000000"/>
          <w:sz w:val="24"/>
          <w:szCs w:val="24"/>
        </w:rPr>
      </w:pPr>
      <w:r w:rsidRPr="00BD7ADB">
        <w:rPr>
          <w:rFonts w:ascii="Times New Roman" w:hAnsi="Times New Roman" w:cs="Times New Roman"/>
          <w:b/>
          <w:sz w:val="24"/>
          <w:szCs w:val="24"/>
          <w:u w:val="single"/>
        </w:rPr>
        <w:t>DHCF Qualitative Progress Summary</w:t>
      </w:r>
    </w:p>
    <w:p w:rsidR="000159B2" w:rsidRDefault="000159B2" w:rsidP="000159B2">
      <w:pPr>
        <w:spacing w:after="0" w:line="240" w:lineRule="auto"/>
        <w:contextualSpacing/>
        <w:rPr>
          <w:rFonts w:ascii="Times New Roman" w:hAnsi="Times New Roman" w:cs="Times New Roman"/>
          <w:color w:val="000000"/>
          <w:sz w:val="24"/>
          <w:szCs w:val="24"/>
        </w:rPr>
      </w:pPr>
    </w:p>
    <w:p w:rsidR="000159B2" w:rsidRPr="005E69CC" w:rsidRDefault="000159B2" w:rsidP="000159B2">
      <w:pPr>
        <w:pStyle w:val="ListParagraph"/>
        <w:numPr>
          <w:ilvl w:val="0"/>
          <w:numId w:val="12"/>
        </w:numPr>
        <w:spacing w:after="0" w:line="240" w:lineRule="auto"/>
        <w:rPr>
          <w:rFonts w:ascii="Times New Roman" w:hAnsi="Times New Roman" w:cs="Times New Roman"/>
          <w:color w:val="000000"/>
          <w:sz w:val="24"/>
          <w:szCs w:val="24"/>
        </w:rPr>
      </w:pPr>
      <w:r w:rsidRPr="005E69CC">
        <w:rPr>
          <w:rFonts w:ascii="Times New Roman" w:hAnsi="Times New Roman" w:cs="Times New Roman"/>
          <w:color w:val="000000"/>
          <w:sz w:val="24"/>
          <w:szCs w:val="24"/>
        </w:rPr>
        <w:t>DHCF convened sixteen (1</w:t>
      </w:r>
      <w:r w:rsidR="00E20C59">
        <w:rPr>
          <w:rFonts w:ascii="Times New Roman" w:hAnsi="Times New Roman" w:cs="Times New Roman"/>
          <w:color w:val="000000"/>
          <w:sz w:val="24"/>
          <w:szCs w:val="24"/>
        </w:rPr>
        <w:t>6) meetings for its Intellectual and Developmental Disabilities (IDD</w:t>
      </w:r>
      <w:r w:rsidRPr="005E69CC">
        <w:rPr>
          <w:rFonts w:ascii="Times New Roman" w:hAnsi="Times New Roman" w:cs="Times New Roman"/>
          <w:color w:val="000000"/>
          <w:sz w:val="24"/>
          <w:szCs w:val="24"/>
        </w:rPr>
        <w:t>) Waiver Program and Medicaid State Plan home and community-based services providers</w:t>
      </w:r>
      <w:r>
        <w:rPr>
          <w:rFonts w:ascii="Times New Roman" w:hAnsi="Times New Roman" w:cs="Times New Roman"/>
          <w:color w:val="000000"/>
          <w:sz w:val="24"/>
          <w:szCs w:val="24"/>
        </w:rPr>
        <w:t xml:space="preserve"> (i.e., Adult Day Health providers and home health agencies)</w:t>
      </w:r>
      <w:r w:rsidRPr="005E69CC">
        <w:rPr>
          <w:rFonts w:ascii="Times New Roman" w:hAnsi="Times New Roman" w:cs="Times New Roman"/>
          <w:color w:val="000000"/>
          <w:sz w:val="24"/>
          <w:szCs w:val="24"/>
        </w:rPr>
        <w:t xml:space="preserve"> in 2015. Meetings ranged from sessions for providers on policy and practice to trainings on person-centered planning. </w:t>
      </w:r>
    </w:p>
    <w:p w:rsidR="000159B2" w:rsidRPr="00BD7ADB" w:rsidRDefault="000159B2" w:rsidP="000159B2">
      <w:pPr>
        <w:spacing w:after="0" w:line="240" w:lineRule="auto"/>
        <w:contextualSpacing/>
        <w:rPr>
          <w:rFonts w:ascii="Times New Roman" w:hAnsi="Times New Roman" w:cs="Times New Roman"/>
          <w:color w:val="000000"/>
          <w:sz w:val="24"/>
          <w:szCs w:val="24"/>
        </w:rPr>
      </w:pPr>
    </w:p>
    <w:p w:rsidR="000159B2" w:rsidRPr="005E69CC" w:rsidRDefault="000159B2" w:rsidP="000159B2">
      <w:pPr>
        <w:pStyle w:val="ListParagraph"/>
        <w:numPr>
          <w:ilvl w:val="0"/>
          <w:numId w:val="12"/>
        </w:numPr>
        <w:spacing w:after="0" w:line="240" w:lineRule="auto"/>
        <w:rPr>
          <w:rFonts w:ascii="Times New Roman" w:hAnsi="Times New Roman" w:cs="Times New Roman"/>
          <w:color w:val="000000"/>
          <w:sz w:val="24"/>
          <w:szCs w:val="24"/>
        </w:rPr>
      </w:pPr>
      <w:r w:rsidRPr="005E69CC">
        <w:rPr>
          <w:rFonts w:ascii="Times New Roman" w:hAnsi="Times New Roman" w:cs="Times New Roman"/>
          <w:color w:val="000000"/>
          <w:sz w:val="24"/>
          <w:szCs w:val="24"/>
        </w:rPr>
        <w:t xml:space="preserve">In </w:t>
      </w:r>
      <w:r w:rsidRPr="00490AE2">
        <w:rPr>
          <w:rFonts w:ascii="Times New Roman" w:hAnsi="Times New Roman" w:cs="Times New Roman"/>
          <w:color w:val="000000"/>
          <w:sz w:val="24"/>
          <w:szCs w:val="24"/>
        </w:rPr>
        <w:t>keeping with the federal HCBS requirement for person-centered planning, DHCF provided seven (7) trainings to staff and providers who provide and support LTSS services.  Trainings were focused on case managers, EPD waiver providers, adult day health providers, DHCF’s long term care services and supports contractor Delmarva, the ADRC, and DHCF staff.</w:t>
      </w:r>
      <w:r>
        <w:rPr>
          <w:rFonts w:ascii="Times New Roman" w:hAnsi="Times New Roman" w:cs="Times New Roman"/>
          <w:color w:val="000000"/>
          <w:sz w:val="24"/>
          <w:szCs w:val="24"/>
        </w:rPr>
        <w:t xml:space="preserve"> </w:t>
      </w:r>
    </w:p>
    <w:p w:rsidR="000159B2" w:rsidRPr="00BD7ADB" w:rsidRDefault="000159B2" w:rsidP="000159B2">
      <w:pPr>
        <w:spacing w:after="0" w:line="240" w:lineRule="auto"/>
        <w:ind w:firstLine="180"/>
        <w:contextualSpacing/>
        <w:rPr>
          <w:rFonts w:ascii="Times New Roman" w:hAnsi="Times New Roman" w:cs="Times New Roman"/>
          <w:color w:val="000000"/>
          <w:sz w:val="24"/>
          <w:szCs w:val="24"/>
        </w:rPr>
      </w:pPr>
    </w:p>
    <w:p w:rsidR="000159B2" w:rsidRDefault="000159B2" w:rsidP="000159B2">
      <w:pPr>
        <w:pStyle w:val="ListParagraph"/>
        <w:numPr>
          <w:ilvl w:val="0"/>
          <w:numId w:val="12"/>
        </w:numPr>
        <w:spacing w:after="0" w:line="240" w:lineRule="auto"/>
        <w:rPr>
          <w:rFonts w:ascii="Times New Roman" w:hAnsi="Times New Roman" w:cs="Times New Roman"/>
          <w:color w:val="000000"/>
          <w:sz w:val="24"/>
          <w:szCs w:val="24"/>
        </w:rPr>
      </w:pPr>
      <w:r w:rsidRPr="004F29D7">
        <w:rPr>
          <w:rFonts w:ascii="Times New Roman" w:hAnsi="Times New Roman" w:cs="Times New Roman"/>
          <w:color w:val="000000"/>
          <w:sz w:val="24"/>
          <w:szCs w:val="24"/>
        </w:rPr>
        <w:t xml:space="preserve">DHCF finalized work with nursing facilities on the admission process and update of the Pre-Admission Screening and Resident Review (PASRR). </w:t>
      </w:r>
      <w:r>
        <w:rPr>
          <w:rFonts w:ascii="Times New Roman" w:hAnsi="Times New Roman" w:cs="Times New Roman"/>
          <w:color w:val="000000"/>
          <w:sz w:val="24"/>
          <w:szCs w:val="24"/>
        </w:rPr>
        <w:t xml:space="preserve">DHCF has also worked with nursing facilities to streamline the discharge process to ensure that individuals who are being discharged from nursing facilities to the community have LTSS services in place on day one.  </w:t>
      </w:r>
    </w:p>
    <w:p w:rsidR="000159B2" w:rsidRPr="00BD7ADB" w:rsidRDefault="000159B2" w:rsidP="000159B2">
      <w:pPr>
        <w:spacing w:after="0" w:line="240" w:lineRule="auto"/>
        <w:contextualSpacing/>
        <w:rPr>
          <w:rFonts w:ascii="Times New Roman" w:hAnsi="Times New Roman" w:cs="Times New Roman"/>
          <w:color w:val="000000"/>
          <w:sz w:val="24"/>
          <w:szCs w:val="24"/>
        </w:rPr>
      </w:pPr>
    </w:p>
    <w:p w:rsidR="000159B2" w:rsidRDefault="000159B2" w:rsidP="000159B2">
      <w:pPr>
        <w:pStyle w:val="ListParagraph"/>
        <w:numPr>
          <w:ilvl w:val="0"/>
          <w:numId w:val="1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DHCF increased funding to support the ADRC’s role in providing application assistance and choice counseling to individuals seeking access to Medicaid funded HCBS services.</w:t>
      </w:r>
    </w:p>
    <w:p w:rsidR="000159B2" w:rsidRDefault="000159B2" w:rsidP="000159B2">
      <w:pPr>
        <w:pStyle w:val="ListParagraph"/>
        <w:spacing w:after="0" w:line="240" w:lineRule="auto"/>
        <w:rPr>
          <w:rFonts w:ascii="Times New Roman" w:hAnsi="Times New Roman" w:cs="Times New Roman"/>
          <w:color w:val="000000"/>
          <w:sz w:val="24"/>
          <w:szCs w:val="24"/>
        </w:rPr>
      </w:pPr>
    </w:p>
    <w:p w:rsidR="000159B2" w:rsidRDefault="000159B2" w:rsidP="000159B2">
      <w:pPr>
        <w:pStyle w:val="ListParagraph"/>
        <w:numPr>
          <w:ilvl w:val="0"/>
          <w:numId w:val="1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DHCF conducted multiple training for ADRC staff on LTC eligibility and case processing.</w:t>
      </w:r>
    </w:p>
    <w:p w:rsidR="000159B2" w:rsidRDefault="000159B2" w:rsidP="000159B2">
      <w:pPr>
        <w:pStyle w:val="ListParagraph"/>
        <w:spacing w:after="0" w:line="240" w:lineRule="auto"/>
        <w:rPr>
          <w:rFonts w:ascii="Times New Roman" w:hAnsi="Times New Roman" w:cs="Times New Roman"/>
          <w:color w:val="000000"/>
          <w:sz w:val="24"/>
          <w:szCs w:val="24"/>
        </w:rPr>
      </w:pPr>
    </w:p>
    <w:p w:rsidR="000159B2" w:rsidRPr="00D3687A" w:rsidRDefault="000159B2" w:rsidP="000159B2">
      <w:pPr>
        <w:pStyle w:val="ListParagraph"/>
        <w:numPr>
          <w:ilvl w:val="0"/>
          <w:numId w:val="1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w:t>
      </w:r>
      <w:r w:rsidRPr="00D3687A">
        <w:rPr>
          <w:rFonts w:ascii="Times New Roman" w:hAnsi="Times New Roman" w:cs="Times New Roman"/>
          <w:color w:val="000000"/>
          <w:sz w:val="24"/>
          <w:szCs w:val="24"/>
        </w:rPr>
        <w:t xml:space="preserve">n collaboration with DCOA’s ARDC, DHCF convened monthly meetings with the </w:t>
      </w:r>
      <w:r w:rsidRPr="00D3687A">
        <w:rPr>
          <w:rFonts w:ascii="Times New Roman" w:hAnsi="Times New Roman" w:cs="Times New Roman"/>
          <w:i/>
          <w:color w:val="000000"/>
          <w:sz w:val="24"/>
          <w:szCs w:val="24"/>
        </w:rPr>
        <w:t>Money Follows the Person</w:t>
      </w:r>
      <w:r w:rsidRPr="00D3687A">
        <w:rPr>
          <w:rFonts w:ascii="Times New Roman" w:hAnsi="Times New Roman" w:cs="Times New Roman"/>
          <w:color w:val="000000"/>
          <w:sz w:val="24"/>
          <w:szCs w:val="24"/>
        </w:rPr>
        <w:t xml:space="preserve"> (MFP) stakeholder Advisor</w:t>
      </w:r>
      <w:r w:rsidR="00384E0E">
        <w:rPr>
          <w:rFonts w:ascii="Times New Roman" w:hAnsi="Times New Roman" w:cs="Times New Roman"/>
          <w:color w:val="000000"/>
          <w:sz w:val="24"/>
          <w:szCs w:val="24"/>
        </w:rPr>
        <w:t>y Commission.</w:t>
      </w:r>
      <w:r w:rsidRPr="00D3687A">
        <w:rPr>
          <w:rFonts w:ascii="Times New Roman" w:hAnsi="Times New Roman" w:cs="Times New Roman"/>
          <w:color w:val="000000"/>
          <w:sz w:val="24"/>
          <w:szCs w:val="24"/>
        </w:rPr>
        <w:t xml:space="preserve"> With feedback </w:t>
      </w:r>
      <w:r w:rsidRPr="00D3687A">
        <w:rPr>
          <w:rFonts w:ascii="Times New Roman" w:hAnsi="Times New Roman" w:cs="Times New Roman"/>
          <w:color w:val="000000"/>
          <w:sz w:val="24"/>
          <w:szCs w:val="24"/>
        </w:rPr>
        <w:lastRenderedPageBreak/>
        <w:t xml:space="preserve">from the stakeholders and key government partners, the MFP Sustainability Plan was submitted to CMS on April 30, 2015; and the plan was accepted by CMS on July 1, 2015.  It includes funding for implementation of the Demonstration’s transition coordination activities at the DCOA/ADRC through December 31, 2018, and the allocation of rebalancing funds to support nursing facility residents transitioning to Medicaid State Plan HCBS through December 31, 2020. </w:t>
      </w:r>
    </w:p>
    <w:p w:rsidR="000159B2" w:rsidRDefault="000159B2" w:rsidP="000159B2">
      <w:pPr>
        <w:pStyle w:val="ListParagraph"/>
        <w:spacing w:after="0" w:line="240" w:lineRule="auto"/>
        <w:rPr>
          <w:rFonts w:ascii="Times New Roman" w:hAnsi="Times New Roman" w:cs="Times New Roman"/>
          <w:color w:val="000000"/>
          <w:sz w:val="24"/>
          <w:szCs w:val="24"/>
        </w:rPr>
      </w:pPr>
    </w:p>
    <w:p w:rsidR="000159B2" w:rsidRDefault="000159B2" w:rsidP="000159B2">
      <w:pPr>
        <w:pStyle w:val="ListParagraph"/>
        <w:numPr>
          <w:ilvl w:val="0"/>
          <w:numId w:val="12"/>
        </w:numPr>
        <w:spacing w:after="0" w:line="240" w:lineRule="auto"/>
        <w:rPr>
          <w:rFonts w:ascii="Times New Roman" w:hAnsi="Times New Roman" w:cs="Times New Roman"/>
          <w:color w:val="000000"/>
          <w:sz w:val="24"/>
          <w:szCs w:val="24"/>
        </w:rPr>
      </w:pPr>
      <w:r w:rsidRPr="00D3687A">
        <w:rPr>
          <w:rFonts w:ascii="Times New Roman" w:hAnsi="Times New Roman" w:cs="Times New Roman"/>
          <w:color w:val="000000"/>
          <w:sz w:val="24"/>
          <w:szCs w:val="24"/>
        </w:rPr>
        <w:t xml:space="preserve">DHCF provided guidance and support to DCOA/ADRC to implement the March 2, </w:t>
      </w:r>
      <w:r w:rsidRPr="00BB5A9A">
        <w:rPr>
          <w:rFonts w:ascii="Times New Roman" w:hAnsi="Times New Roman" w:cs="Times New Roman"/>
          <w:color w:val="000000"/>
          <w:sz w:val="24"/>
          <w:szCs w:val="24"/>
        </w:rPr>
        <w:t>2015 lottery for thirty (30) MFP Housing Choice Vouchers for nursing facility residents w</w:t>
      </w:r>
      <w:r w:rsidRPr="00D3687A">
        <w:rPr>
          <w:rFonts w:ascii="Times New Roman" w:hAnsi="Times New Roman" w:cs="Times New Roman"/>
          <w:color w:val="000000"/>
          <w:sz w:val="24"/>
          <w:szCs w:val="24"/>
        </w:rPr>
        <w:t>ho want to transition to the community and need subsidized housing to do so.  DHCF worked with the DCOA/ADRC and the DC Health Care Association to reach all nursing facilities and residents with information about the lottery and how to participate. On March 2, 2015, thirty (30) nursing facility residents were selected in the first round of the lottery; and thirty (30</w:t>
      </w:r>
      <w:r w:rsidRPr="005E69CC">
        <w:rPr>
          <w:rFonts w:ascii="Times New Roman" w:hAnsi="Times New Roman" w:cs="Times New Roman"/>
          <w:color w:val="000000"/>
          <w:sz w:val="24"/>
          <w:szCs w:val="24"/>
        </w:rPr>
        <w:t xml:space="preserve">) alternates were also selected.  DHCF acted as a liaison between DCOA/ADRC and the DC Housing Authority to coordinate training for Community Transition Team members and develop accompanying processes for eligibility packet review and resident notification.  </w:t>
      </w:r>
    </w:p>
    <w:p w:rsidR="000159B2" w:rsidRDefault="000159B2" w:rsidP="000159B2">
      <w:pPr>
        <w:pStyle w:val="ListParagraph"/>
      </w:pPr>
    </w:p>
    <w:p w:rsidR="000159B2" w:rsidRPr="00BB5A9A" w:rsidRDefault="000159B2" w:rsidP="000159B2">
      <w:pPr>
        <w:pStyle w:val="ListParagraph"/>
        <w:numPr>
          <w:ilvl w:val="0"/>
          <w:numId w:val="12"/>
        </w:numPr>
        <w:spacing w:after="0" w:line="240" w:lineRule="auto"/>
        <w:rPr>
          <w:rFonts w:ascii="Times New Roman" w:hAnsi="Times New Roman" w:cs="Times New Roman"/>
          <w:color w:val="000000"/>
          <w:sz w:val="24"/>
          <w:szCs w:val="24"/>
        </w:rPr>
      </w:pPr>
      <w:r w:rsidRPr="00BB5A9A">
        <w:rPr>
          <w:rFonts w:ascii="Times New Roman" w:hAnsi="Times New Roman" w:cs="Times New Roman"/>
          <w:sz w:val="24"/>
          <w:szCs w:val="24"/>
        </w:rPr>
        <w:t xml:space="preserve">As of December 31st, nineteen (19) of the thirty (30) vouchers available in the lottery had been issued and used in the community. One (1) additional voucher was pending finalization of the voucher process with DCHA and the selected property. Fourteen (14) vouchers could not be used by lottery winners or selected alternates and a new lottery will be held in 2016 to award these vouchers to other residents.  </w:t>
      </w:r>
    </w:p>
    <w:p w:rsidR="000159B2" w:rsidRPr="00BB5A9A" w:rsidRDefault="000159B2" w:rsidP="000159B2">
      <w:pPr>
        <w:pStyle w:val="ListParagraph"/>
        <w:rPr>
          <w:rFonts w:ascii="Times New Roman" w:hAnsi="Times New Roman" w:cs="Times New Roman"/>
          <w:sz w:val="24"/>
          <w:szCs w:val="24"/>
        </w:rPr>
      </w:pPr>
    </w:p>
    <w:p w:rsidR="000159B2" w:rsidRPr="00BB5A9A" w:rsidRDefault="000159B2" w:rsidP="000159B2">
      <w:pPr>
        <w:pStyle w:val="ListParagraph"/>
        <w:numPr>
          <w:ilvl w:val="0"/>
          <w:numId w:val="12"/>
        </w:numPr>
        <w:spacing w:after="0" w:line="240" w:lineRule="auto"/>
        <w:rPr>
          <w:rFonts w:ascii="Times New Roman" w:hAnsi="Times New Roman" w:cs="Times New Roman"/>
          <w:color w:val="000000"/>
          <w:sz w:val="24"/>
          <w:szCs w:val="24"/>
        </w:rPr>
      </w:pPr>
      <w:r w:rsidRPr="00BB5A9A">
        <w:rPr>
          <w:rFonts w:ascii="Times New Roman" w:hAnsi="Times New Roman" w:cs="Times New Roman"/>
          <w:sz w:val="24"/>
          <w:szCs w:val="24"/>
        </w:rPr>
        <w:t xml:space="preserve">DHCF launched a new State Plan Adult Day Health Program to serve individuals who are age 55 and older who have chronic conditions.  This program is designed to provide medical supports and therapeutic activities to older adults as an alternative to nursing home placement.  DHCF and its contractor, Delmarva, have been working with individuals to conduct the LTC assessment required to enroll in the ADHP program, and DHCF and its sister agency, ADRC, have been working with eligible individuals to develop person-centered plans required for enrollment in the ADHP program.  During this time, DHCF has also enrolled six new ADHP providers.  As of December 31, 2015, </w:t>
      </w:r>
      <w:r>
        <w:rPr>
          <w:rFonts w:ascii="Times New Roman" w:hAnsi="Times New Roman" w:cs="Times New Roman"/>
          <w:sz w:val="24"/>
          <w:szCs w:val="24"/>
        </w:rPr>
        <w:t>90</w:t>
      </w:r>
      <w:r w:rsidRPr="00BB5A9A">
        <w:rPr>
          <w:rFonts w:ascii="Times New Roman" w:hAnsi="Times New Roman" w:cs="Times New Roman"/>
          <w:sz w:val="24"/>
          <w:szCs w:val="24"/>
        </w:rPr>
        <w:t xml:space="preserve"> beneficiaries were enrolled in this new program. </w:t>
      </w:r>
    </w:p>
    <w:p w:rsidR="000159B2" w:rsidRPr="00BB5A9A" w:rsidRDefault="000159B2" w:rsidP="000159B2">
      <w:pPr>
        <w:pStyle w:val="PlainText"/>
        <w:ind w:left="720"/>
      </w:pPr>
    </w:p>
    <w:p w:rsidR="000159B2" w:rsidRDefault="000159B2" w:rsidP="000159B2">
      <w:pPr>
        <w:pStyle w:val="PlainText"/>
        <w:numPr>
          <w:ilvl w:val="0"/>
          <w:numId w:val="12"/>
        </w:numPr>
        <w:rPr>
          <w:rFonts w:ascii="Times New Roman" w:hAnsi="Times New Roman" w:cs="Times New Roman"/>
          <w:sz w:val="24"/>
          <w:szCs w:val="24"/>
        </w:rPr>
      </w:pPr>
      <w:r w:rsidRPr="00BB5A9A">
        <w:rPr>
          <w:rFonts w:ascii="Times New Roman" w:hAnsi="Times New Roman" w:cs="Times New Roman"/>
          <w:sz w:val="24"/>
          <w:szCs w:val="24"/>
        </w:rPr>
        <w:t xml:space="preserve">DHCF </w:t>
      </w:r>
      <w:r w:rsidRPr="00C73F5F">
        <w:rPr>
          <w:rFonts w:ascii="Times New Roman" w:hAnsi="Times New Roman" w:cs="Times New Roman"/>
          <w:sz w:val="24"/>
          <w:szCs w:val="24"/>
        </w:rPr>
        <w:t xml:space="preserve">received </w:t>
      </w:r>
      <w:r>
        <w:rPr>
          <w:rFonts w:ascii="Times New Roman" w:hAnsi="Times New Roman" w:cs="Times New Roman"/>
          <w:sz w:val="24"/>
          <w:szCs w:val="24"/>
        </w:rPr>
        <w:t xml:space="preserve">federal </w:t>
      </w:r>
      <w:r w:rsidRPr="00C73F5F">
        <w:rPr>
          <w:rFonts w:ascii="Times New Roman" w:hAnsi="Times New Roman" w:cs="Times New Roman"/>
          <w:sz w:val="24"/>
          <w:szCs w:val="24"/>
        </w:rPr>
        <w:t>approval of several amendments to the Elderly and Persons with Disabilities (EPD) Waiver.  Significant change</w:t>
      </w:r>
      <w:r>
        <w:rPr>
          <w:rFonts w:ascii="Times New Roman" w:hAnsi="Times New Roman" w:cs="Times New Roman"/>
          <w:sz w:val="24"/>
          <w:szCs w:val="24"/>
        </w:rPr>
        <w:t>s</w:t>
      </w:r>
      <w:r w:rsidRPr="00C73F5F">
        <w:rPr>
          <w:rFonts w:ascii="Times New Roman" w:hAnsi="Times New Roman" w:cs="Times New Roman"/>
          <w:sz w:val="24"/>
          <w:szCs w:val="24"/>
        </w:rPr>
        <w:t xml:space="preserve"> designed to support transitions to the community i</w:t>
      </w:r>
      <w:r>
        <w:rPr>
          <w:rFonts w:ascii="Times New Roman" w:hAnsi="Times New Roman" w:cs="Times New Roman"/>
          <w:sz w:val="24"/>
          <w:szCs w:val="24"/>
        </w:rPr>
        <w:t xml:space="preserve">nclude:  </w:t>
      </w:r>
      <w:r w:rsidRPr="00C73F5F">
        <w:rPr>
          <w:rFonts w:ascii="Times New Roman" w:hAnsi="Times New Roman" w:cs="Times New Roman"/>
          <w:sz w:val="24"/>
          <w:szCs w:val="24"/>
        </w:rPr>
        <w:t xml:space="preserve">a provision that allows DHCF to pay case managers for up to 120 days </w:t>
      </w:r>
      <w:r>
        <w:rPr>
          <w:rFonts w:ascii="Times New Roman" w:hAnsi="Times New Roman" w:cs="Times New Roman"/>
          <w:sz w:val="24"/>
          <w:szCs w:val="24"/>
        </w:rPr>
        <w:t xml:space="preserve">for transition services </w:t>
      </w:r>
      <w:r w:rsidRPr="00C73F5F">
        <w:rPr>
          <w:rFonts w:ascii="Times New Roman" w:hAnsi="Times New Roman" w:cs="Times New Roman"/>
          <w:sz w:val="24"/>
          <w:szCs w:val="24"/>
        </w:rPr>
        <w:t>when an EPD waiver beneficiary is hospitalized or institutionalized</w:t>
      </w:r>
      <w:r>
        <w:rPr>
          <w:rFonts w:ascii="Times New Roman" w:hAnsi="Times New Roman" w:cs="Times New Roman"/>
          <w:sz w:val="24"/>
          <w:szCs w:val="24"/>
        </w:rPr>
        <w:t>;  stronger programmatic standards</w:t>
      </w:r>
      <w:r w:rsidRPr="00C73F5F">
        <w:rPr>
          <w:rFonts w:ascii="Times New Roman" w:hAnsi="Times New Roman" w:cs="Times New Roman"/>
          <w:sz w:val="24"/>
          <w:szCs w:val="24"/>
        </w:rPr>
        <w:t xml:space="preserve"> for case manage</w:t>
      </w:r>
      <w:r>
        <w:rPr>
          <w:rFonts w:ascii="Times New Roman" w:hAnsi="Times New Roman" w:cs="Times New Roman"/>
          <w:sz w:val="24"/>
          <w:szCs w:val="24"/>
        </w:rPr>
        <w:t xml:space="preserve">rs and case management agencies; </w:t>
      </w:r>
      <w:r w:rsidRPr="00C73F5F">
        <w:rPr>
          <w:rFonts w:ascii="Times New Roman" w:hAnsi="Times New Roman" w:cs="Times New Roman"/>
          <w:sz w:val="24"/>
          <w:szCs w:val="24"/>
        </w:rPr>
        <w:t xml:space="preserve"> </w:t>
      </w:r>
      <w:r>
        <w:rPr>
          <w:rFonts w:ascii="Times New Roman" w:hAnsi="Times New Roman" w:cs="Times New Roman"/>
          <w:sz w:val="24"/>
          <w:szCs w:val="24"/>
        </w:rPr>
        <w:t xml:space="preserve">increased payment rates for case management services and a new payment methodology;  the addition of adult day health services, physical therapy and occupational therapy as new services in the waiver; and a new eligibility process designed to streamline access to the waiver. </w:t>
      </w:r>
    </w:p>
    <w:p w:rsidR="000159B2" w:rsidRDefault="000159B2" w:rsidP="000159B2">
      <w:pPr>
        <w:pStyle w:val="PlainText"/>
        <w:ind w:left="720"/>
        <w:rPr>
          <w:rFonts w:ascii="Times New Roman" w:hAnsi="Times New Roman" w:cs="Times New Roman"/>
          <w:sz w:val="24"/>
          <w:szCs w:val="24"/>
        </w:rPr>
      </w:pPr>
    </w:p>
    <w:p w:rsidR="00E20C59" w:rsidRDefault="000159B2" w:rsidP="000159B2">
      <w:pPr>
        <w:pStyle w:val="PlainText"/>
        <w:numPr>
          <w:ilvl w:val="0"/>
          <w:numId w:val="12"/>
        </w:numPr>
        <w:rPr>
          <w:rFonts w:ascii="Times New Roman" w:hAnsi="Times New Roman" w:cs="Times New Roman"/>
          <w:sz w:val="24"/>
          <w:szCs w:val="24"/>
        </w:rPr>
      </w:pPr>
      <w:r w:rsidRPr="00BB5A9A">
        <w:rPr>
          <w:rFonts w:ascii="Times New Roman" w:hAnsi="Times New Roman" w:cs="Times New Roman"/>
          <w:sz w:val="24"/>
          <w:szCs w:val="24"/>
        </w:rPr>
        <w:t>DHCF has co</w:t>
      </w:r>
      <w:r>
        <w:rPr>
          <w:rFonts w:ascii="Times New Roman" w:hAnsi="Times New Roman" w:cs="Times New Roman"/>
          <w:sz w:val="24"/>
          <w:szCs w:val="24"/>
        </w:rPr>
        <w:t>ntinued to expand the use of it</w:t>
      </w:r>
      <w:r w:rsidRPr="00BB5A9A">
        <w:rPr>
          <w:rFonts w:ascii="Times New Roman" w:hAnsi="Times New Roman" w:cs="Times New Roman"/>
          <w:sz w:val="24"/>
          <w:szCs w:val="24"/>
        </w:rPr>
        <w:t xml:space="preserve">s standardized, conflict-free assessment tool and process.  In 2015, in addition to PCA services, the tool was implemented for the new </w:t>
      </w:r>
      <w:r w:rsidRPr="00BB5A9A">
        <w:rPr>
          <w:rFonts w:ascii="Times New Roman" w:hAnsi="Times New Roman" w:cs="Times New Roman"/>
          <w:sz w:val="24"/>
          <w:szCs w:val="24"/>
        </w:rPr>
        <w:lastRenderedPageBreak/>
        <w:t xml:space="preserve">ADHP program.  The assessment tool will serve as an entry point to DHCF's entire LTC program, where the assessment will establish eligibility for a range of LTC services and supports and allow applicant to make informed choices among a range of options. </w:t>
      </w:r>
    </w:p>
    <w:p w:rsidR="00E20C59" w:rsidRDefault="00E20C59" w:rsidP="00E20C59">
      <w:pPr>
        <w:pStyle w:val="ListParagraph"/>
        <w:rPr>
          <w:rFonts w:ascii="Times New Roman" w:hAnsi="Times New Roman" w:cs="Times New Roman"/>
          <w:sz w:val="24"/>
          <w:szCs w:val="24"/>
        </w:rPr>
      </w:pPr>
    </w:p>
    <w:p w:rsidR="00BC2053" w:rsidRPr="00E20C59" w:rsidRDefault="000159B2" w:rsidP="000159B2">
      <w:pPr>
        <w:pStyle w:val="PlainText"/>
        <w:numPr>
          <w:ilvl w:val="0"/>
          <w:numId w:val="12"/>
        </w:numPr>
        <w:rPr>
          <w:rFonts w:ascii="Times New Roman" w:hAnsi="Times New Roman" w:cs="Times New Roman"/>
          <w:sz w:val="24"/>
          <w:szCs w:val="24"/>
        </w:rPr>
      </w:pPr>
      <w:r w:rsidRPr="00E20C59">
        <w:rPr>
          <w:rFonts w:ascii="Times New Roman" w:hAnsi="Times New Roman" w:cs="Times New Roman"/>
          <w:sz w:val="24"/>
          <w:szCs w:val="24"/>
        </w:rPr>
        <w:t xml:space="preserve">DHCF made significant progress toward launch of Services My Way, the District’s first Participant Directed Service (PDS) offering in the EPD waiver.  Starting in August 2014, DHCF convened a workgroup on development of its PDS program.  </w:t>
      </w:r>
      <w:proofErr w:type="gramStart"/>
      <w:r w:rsidRPr="00E20C59">
        <w:rPr>
          <w:rFonts w:ascii="Times New Roman" w:hAnsi="Times New Roman" w:cs="Times New Roman"/>
          <w:sz w:val="24"/>
          <w:szCs w:val="24"/>
        </w:rPr>
        <w:t>This involved on-boarding a consultant with experience in over 25 other states of developing PDS programs, and coordinating a monthly meeting of PDS stakeholders who advised on the PDS program development.</w:t>
      </w:r>
      <w:proofErr w:type="gramEnd"/>
      <w:r w:rsidRPr="00E20C59">
        <w:rPr>
          <w:rFonts w:ascii="Times New Roman" w:hAnsi="Times New Roman" w:cs="Times New Roman"/>
          <w:sz w:val="24"/>
          <w:szCs w:val="24"/>
        </w:rPr>
        <w:t xml:space="preserve">  With support from the consultant and weekly meetings with the PDS workgroup, DHCF developed a request for proposals for the PDS vendor, a Fiscal Management Service (FMS)--Support Broker Entity (SBE). In addition, DHCF created a series of required forms connected to all levels of the program, </w:t>
      </w:r>
      <w:proofErr w:type="gramStart"/>
      <w:r w:rsidRPr="00E20C59">
        <w:rPr>
          <w:rFonts w:ascii="Times New Roman" w:hAnsi="Times New Roman" w:cs="Times New Roman"/>
          <w:sz w:val="24"/>
          <w:szCs w:val="24"/>
        </w:rPr>
        <w:t>a PDS operations</w:t>
      </w:r>
      <w:proofErr w:type="gramEnd"/>
      <w:r w:rsidRPr="00E20C59">
        <w:rPr>
          <w:rFonts w:ascii="Times New Roman" w:hAnsi="Times New Roman" w:cs="Times New Roman"/>
          <w:sz w:val="24"/>
          <w:szCs w:val="24"/>
        </w:rPr>
        <w:t xml:space="preserve"> manual, a participants’ guide, and marketing materials.  In spring 2015, DHCF hired a PDS Program Coordinator, and in January 2016 awarded the PDS vendor contract to DC Consumer Direct.  The PDS workgroup continues to advise DHCF via monthly meetings, and the PDS Program Coordinator has begun various trainings of the community, DHCF staff, and stakeholders, on the PDS Program.  DHCF anticipates enrolling the first beneficiaries into Services my way no later than March 31, 2016.</w:t>
      </w:r>
    </w:p>
    <w:p w:rsidR="00BC2053" w:rsidRDefault="00BC2053" w:rsidP="00BC2053">
      <w:pPr>
        <w:rPr>
          <w:rFonts w:ascii="Times New Roman" w:hAnsi="Times New Roman" w:cs="Times New Roman"/>
          <w:b/>
          <w:color w:val="C00000"/>
          <w:sz w:val="24"/>
          <w:szCs w:val="24"/>
          <w:u w:val="single"/>
        </w:rPr>
      </w:pPr>
    </w:p>
    <w:p w:rsidR="00BB58DC" w:rsidRDefault="00BB58DC" w:rsidP="00BC2053">
      <w:pPr>
        <w:rPr>
          <w:rFonts w:ascii="Times New Roman" w:hAnsi="Times New Roman" w:cs="Times New Roman"/>
          <w:b/>
          <w:color w:val="C00000"/>
          <w:sz w:val="24"/>
          <w:szCs w:val="24"/>
          <w:u w:val="single"/>
        </w:rPr>
      </w:pPr>
    </w:p>
    <w:p w:rsidR="00BB58DC" w:rsidRDefault="00BB58DC" w:rsidP="00BC2053">
      <w:pPr>
        <w:rPr>
          <w:rFonts w:ascii="Times New Roman" w:hAnsi="Times New Roman" w:cs="Times New Roman"/>
          <w:b/>
          <w:color w:val="C00000"/>
          <w:sz w:val="24"/>
          <w:szCs w:val="24"/>
          <w:u w:val="single"/>
        </w:rPr>
      </w:pPr>
    </w:p>
    <w:p w:rsidR="00BB58DC" w:rsidRDefault="00BB58DC" w:rsidP="00BC2053">
      <w:pPr>
        <w:rPr>
          <w:rFonts w:ascii="Times New Roman" w:hAnsi="Times New Roman" w:cs="Times New Roman"/>
          <w:b/>
          <w:color w:val="C00000"/>
          <w:sz w:val="24"/>
          <w:szCs w:val="24"/>
          <w:u w:val="single"/>
        </w:rPr>
      </w:pPr>
    </w:p>
    <w:p w:rsidR="00BB58DC" w:rsidRDefault="00BB58DC" w:rsidP="00BC2053">
      <w:pPr>
        <w:rPr>
          <w:rFonts w:ascii="Times New Roman" w:hAnsi="Times New Roman" w:cs="Times New Roman"/>
          <w:b/>
          <w:color w:val="C00000"/>
          <w:sz w:val="24"/>
          <w:szCs w:val="24"/>
          <w:u w:val="single"/>
        </w:rPr>
      </w:pPr>
    </w:p>
    <w:p w:rsidR="00BB58DC" w:rsidRDefault="00BB58DC" w:rsidP="00BC2053">
      <w:pPr>
        <w:rPr>
          <w:rFonts w:ascii="Times New Roman" w:hAnsi="Times New Roman" w:cs="Times New Roman"/>
          <w:b/>
          <w:color w:val="C00000"/>
          <w:sz w:val="24"/>
          <w:szCs w:val="24"/>
          <w:u w:val="single"/>
        </w:rPr>
      </w:pPr>
    </w:p>
    <w:p w:rsidR="00BB58DC" w:rsidRDefault="00BB58DC" w:rsidP="00BC2053">
      <w:pPr>
        <w:rPr>
          <w:rFonts w:ascii="Times New Roman" w:hAnsi="Times New Roman" w:cs="Times New Roman"/>
          <w:b/>
          <w:color w:val="C00000"/>
          <w:sz w:val="24"/>
          <w:szCs w:val="24"/>
          <w:u w:val="single"/>
        </w:rPr>
      </w:pPr>
    </w:p>
    <w:p w:rsidR="00BB58DC" w:rsidRDefault="00BB58DC" w:rsidP="00BC2053">
      <w:pPr>
        <w:rPr>
          <w:rFonts w:ascii="Times New Roman" w:hAnsi="Times New Roman" w:cs="Times New Roman"/>
          <w:b/>
          <w:color w:val="C00000"/>
          <w:sz w:val="24"/>
          <w:szCs w:val="24"/>
          <w:u w:val="single"/>
        </w:rPr>
      </w:pPr>
    </w:p>
    <w:p w:rsidR="00557A13" w:rsidRDefault="00557A13" w:rsidP="00BC2053">
      <w:pPr>
        <w:rPr>
          <w:rFonts w:ascii="Times New Roman" w:hAnsi="Times New Roman" w:cs="Times New Roman"/>
          <w:b/>
          <w:color w:val="C00000"/>
          <w:sz w:val="24"/>
          <w:szCs w:val="24"/>
          <w:u w:val="single"/>
        </w:rPr>
      </w:pPr>
    </w:p>
    <w:p w:rsidR="00557A13" w:rsidRDefault="00557A13" w:rsidP="00BC2053">
      <w:pPr>
        <w:rPr>
          <w:rFonts w:ascii="Times New Roman" w:hAnsi="Times New Roman" w:cs="Times New Roman"/>
          <w:b/>
          <w:color w:val="C00000"/>
          <w:sz w:val="24"/>
          <w:szCs w:val="24"/>
          <w:u w:val="single"/>
        </w:rPr>
      </w:pPr>
    </w:p>
    <w:p w:rsidR="00BB58DC" w:rsidRDefault="00BB58DC" w:rsidP="00BC2053">
      <w:pPr>
        <w:rPr>
          <w:rFonts w:ascii="Times New Roman" w:hAnsi="Times New Roman" w:cs="Times New Roman"/>
          <w:b/>
          <w:color w:val="C00000"/>
          <w:sz w:val="24"/>
          <w:szCs w:val="24"/>
          <w:u w:val="single"/>
        </w:rPr>
      </w:pPr>
    </w:p>
    <w:p w:rsidR="00BB58DC" w:rsidRDefault="00BB58DC" w:rsidP="00BC2053">
      <w:pPr>
        <w:rPr>
          <w:rFonts w:ascii="Times New Roman" w:hAnsi="Times New Roman" w:cs="Times New Roman"/>
          <w:b/>
          <w:color w:val="C00000"/>
          <w:sz w:val="24"/>
          <w:szCs w:val="24"/>
          <w:u w:val="single"/>
        </w:rPr>
      </w:pPr>
    </w:p>
    <w:p w:rsidR="004F29D7" w:rsidRDefault="004F29D7" w:rsidP="00BC2053">
      <w:pPr>
        <w:rPr>
          <w:rFonts w:ascii="Times New Roman" w:hAnsi="Times New Roman" w:cs="Times New Roman"/>
          <w:b/>
          <w:color w:val="C00000"/>
          <w:sz w:val="24"/>
          <w:szCs w:val="24"/>
          <w:u w:val="single"/>
        </w:rPr>
      </w:pPr>
    </w:p>
    <w:p w:rsidR="004F29D7" w:rsidRDefault="004F29D7" w:rsidP="00BC2053">
      <w:pPr>
        <w:rPr>
          <w:rFonts w:ascii="Times New Roman" w:hAnsi="Times New Roman" w:cs="Times New Roman"/>
          <w:b/>
          <w:color w:val="C00000"/>
          <w:sz w:val="24"/>
          <w:szCs w:val="24"/>
          <w:u w:val="single"/>
        </w:rPr>
      </w:pPr>
    </w:p>
    <w:p w:rsidR="004F29D7" w:rsidRDefault="004F29D7" w:rsidP="00BC2053">
      <w:pPr>
        <w:rPr>
          <w:rFonts w:ascii="Times New Roman" w:hAnsi="Times New Roman" w:cs="Times New Roman"/>
          <w:b/>
          <w:color w:val="C00000"/>
          <w:sz w:val="24"/>
          <w:szCs w:val="24"/>
          <w:u w:val="single"/>
        </w:rPr>
      </w:pPr>
    </w:p>
    <w:p w:rsidR="004F29D7" w:rsidRDefault="004F29D7" w:rsidP="00BC2053">
      <w:pPr>
        <w:rPr>
          <w:rFonts w:ascii="Times New Roman" w:hAnsi="Times New Roman" w:cs="Times New Roman"/>
          <w:b/>
          <w:color w:val="C00000"/>
          <w:sz w:val="24"/>
          <w:szCs w:val="24"/>
          <w:u w:val="single"/>
        </w:rPr>
      </w:pPr>
    </w:p>
    <w:p w:rsidR="004F29D7" w:rsidRDefault="004F29D7" w:rsidP="00BC2053">
      <w:pPr>
        <w:rPr>
          <w:rFonts w:ascii="Times New Roman" w:hAnsi="Times New Roman" w:cs="Times New Roman"/>
          <w:b/>
          <w:color w:val="C00000"/>
          <w:sz w:val="24"/>
          <w:szCs w:val="24"/>
          <w:u w:val="single"/>
        </w:rPr>
      </w:pPr>
    </w:p>
    <w:p w:rsidR="004F29D7" w:rsidRDefault="004F29D7" w:rsidP="00BC2053">
      <w:pPr>
        <w:rPr>
          <w:rFonts w:ascii="Times New Roman" w:hAnsi="Times New Roman" w:cs="Times New Roman"/>
          <w:b/>
          <w:color w:val="C00000"/>
          <w:sz w:val="24"/>
          <w:szCs w:val="24"/>
          <w:u w:val="single"/>
        </w:rPr>
      </w:pPr>
    </w:p>
    <w:p w:rsidR="004F29D7" w:rsidRDefault="004F29D7" w:rsidP="00BC2053">
      <w:pPr>
        <w:rPr>
          <w:rFonts w:ascii="Times New Roman" w:hAnsi="Times New Roman" w:cs="Times New Roman"/>
          <w:b/>
          <w:color w:val="C00000"/>
          <w:sz w:val="24"/>
          <w:szCs w:val="24"/>
          <w:u w:val="single"/>
        </w:rPr>
      </w:pPr>
    </w:p>
    <w:p w:rsidR="004F29D7" w:rsidRDefault="004F29D7" w:rsidP="00BC2053">
      <w:pPr>
        <w:rPr>
          <w:rFonts w:ascii="Times New Roman" w:hAnsi="Times New Roman" w:cs="Times New Roman"/>
          <w:b/>
          <w:color w:val="C00000"/>
          <w:sz w:val="24"/>
          <w:szCs w:val="24"/>
          <w:u w:val="single"/>
        </w:rPr>
      </w:pPr>
    </w:p>
    <w:p w:rsidR="004F29D7" w:rsidRDefault="004F29D7" w:rsidP="00BC2053">
      <w:pPr>
        <w:rPr>
          <w:rFonts w:ascii="Times New Roman" w:hAnsi="Times New Roman" w:cs="Times New Roman"/>
          <w:b/>
          <w:color w:val="C00000"/>
          <w:sz w:val="24"/>
          <w:szCs w:val="24"/>
          <w:u w:val="single"/>
        </w:rPr>
      </w:pPr>
    </w:p>
    <w:p w:rsidR="00557A13" w:rsidRDefault="00557A13" w:rsidP="00BC2053">
      <w:pPr>
        <w:rPr>
          <w:rFonts w:ascii="Times New Roman" w:hAnsi="Times New Roman" w:cs="Times New Roman"/>
          <w:b/>
          <w:color w:val="C00000"/>
          <w:sz w:val="24"/>
          <w:szCs w:val="24"/>
          <w:u w:val="single"/>
        </w:rPr>
      </w:pPr>
    </w:p>
    <w:p w:rsidR="00557A13" w:rsidRDefault="00557A13" w:rsidP="00BC2053">
      <w:pPr>
        <w:rPr>
          <w:rFonts w:ascii="Times New Roman" w:hAnsi="Times New Roman" w:cs="Times New Roman"/>
          <w:b/>
          <w:color w:val="C00000"/>
          <w:sz w:val="24"/>
          <w:szCs w:val="24"/>
          <w:u w:val="single"/>
        </w:rPr>
      </w:pPr>
    </w:p>
    <w:p w:rsidR="00746CC4" w:rsidRDefault="00746CC4" w:rsidP="00BC2053">
      <w:pPr>
        <w:rPr>
          <w:rFonts w:ascii="Times New Roman" w:hAnsi="Times New Roman" w:cs="Times New Roman"/>
          <w:b/>
          <w:color w:val="C00000"/>
          <w:sz w:val="24"/>
          <w:szCs w:val="24"/>
          <w:u w:val="single"/>
        </w:rPr>
      </w:pPr>
    </w:p>
    <w:p w:rsidR="00BB58DC" w:rsidRPr="00BB58DC" w:rsidRDefault="00BB58DC" w:rsidP="00BB58DC">
      <w:pPr>
        <w:pStyle w:val="ListParagraph"/>
        <w:spacing w:after="0" w:line="240" w:lineRule="auto"/>
        <w:jc w:val="center"/>
        <w:rPr>
          <w:rFonts w:ascii="Times New Roman" w:hAnsi="Times New Roman" w:cs="Times New Roman"/>
          <w:b/>
          <w:sz w:val="24"/>
          <w:szCs w:val="24"/>
        </w:rPr>
      </w:pPr>
      <w:r w:rsidRPr="00BB58DC">
        <w:rPr>
          <w:rFonts w:ascii="Times New Roman" w:hAnsi="Times New Roman" w:cs="Times New Roman"/>
          <w:b/>
          <w:sz w:val="24"/>
          <w:szCs w:val="24"/>
        </w:rPr>
        <w:t>APPENDIX</w:t>
      </w:r>
    </w:p>
    <w:p w:rsidR="00BB58DC" w:rsidRDefault="00BB58DC" w:rsidP="00BB58DC">
      <w:pPr>
        <w:pStyle w:val="ListParagraph"/>
        <w:spacing w:after="0" w:line="240" w:lineRule="auto"/>
        <w:rPr>
          <w:rFonts w:ascii="Times New Roman" w:hAnsi="Times New Roman" w:cs="Times New Roman"/>
          <w:sz w:val="24"/>
          <w:szCs w:val="24"/>
        </w:rPr>
      </w:pPr>
    </w:p>
    <w:p w:rsidR="00BB58DC" w:rsidRPr="00BD7ADB" w:rsidRDefault="00BB58DC" w:rsidP="00BB58DC">
      <w:pPr>
        <w:pStyle w:val="ListParagraph"/>
        <w:spacing w:after="0" w:line="240" w:lineRule="auto"/>
        <w:rPr>
          <w:rFonts w:ascii="Times New Roman" w:hAnsi="Times New Roman" w:cs="Times New Roman"/>
          <w:sz w:val="24"/>
          <w:szCs w:val="24"/>
        </w:rPr>
      </w:pPr>
      <w:r w:rsidRPr="00BD7ADB">
        <w:rPr>
          <w:rFonts w:ascii="Times New Roman" w:hAnsi="Times New Roman" w:cs="Times New Roman"/>
          <w:sz w:val="24"/>
          <w:szCs w:val="24"/>
        </w:rPr>
        <w:t xml:space="preserve">The agency summaries below outline how each of the participating agencies, both separately and in collaboration, helped work toward the District’s quantitative and qualitative goals.  CY 2015 detailed reports and documentation may be found on the DC Office of Disability Rights’ website at the following link: </w:t>
      </w:r>
      <w:hyperlink r:id="rId14" w:history="1">
        <w:r w:rsidRPr="00BD7ADB">
          <w:rPr>
            <w:rStyle w:val="Hyperlink"/>
            <w:rFonts w:ascii="Times New Roman" w:hAnsi="Times New Roman" w:cs="Times New Roman"/>
            <w:sz w:val="24"/>
            <w:szCs w:val="24"/>
          </w:rPr>
          <w:t>http://odr.dc.gov/page/olmstead-community-integration-plan-dc-one-community-all</w:t>
        </w:r>
      </w:hyperlink>
      <w:r w:rsidRPr="00BD7ADB">
        <w:rPr>
          <w:rFonts w:ascii="Times New Roman" w:hAnsi="Times New Roman" w:cs="Times New Roman"/>
          <w:sz w:val="24"/>
          <w:szCs w:val="24"/>
        </w:rPr>
        <w:t xml:space="preserve">. </w:t>
      </w:r>
    </w:p>
    <w:p w:rsidR="00BB58DC" w:rsidRDefault="00BB58DC" w:rsidP="00BC2053">
      <w:pPr>
        <w:rPr>
          <w:rFonts w:ascii="Times New Roman" w:hAnsi="Times New Roman" w:cs="Times New Roman"/>
          <w:b/>
          <w:color w:val="C00000"/>
          <w:sz w:val="24"/>
          <w:szCs w:val="24"/>
          <w:u w:val="single"/>
        </w:rPr>
      </w:pPr>
    </w:p>
    <w:p w:rsidR="00BC2053" w:rsidRPr="00BD7ADB" w:rsidRDefault="00BC2053" w:rsidP="00BC2053">
      <w:pPr>
        <w:jc w:val="center"/>
        <w:rPr>
          <w:rFonts w:ascii="Times New Roman" w:hAnsi="Times New Roman" w:cs="Times New Roman"/>
          <w:b/>
          <w:sz w:val="24"/>
          <w:szCs w:val="24"/>
        </w:rPr>
      </w:pPr>
      <w:r w:rsidRPr="00BD7ADB">
        <w:rPr>
          <w:rFonts w:ascii="Times New Roman" w:hAnsi="Times New Roman" w:cs="Times New Roman"/>
          <w:b/>
          <w:sz w:val="24"/>
          <w:szCs w:val="24"/>
        </w:rPr>
        <w:t>DC – One Community for All</w:t>
      </w:r>
    </w:p>
    <w:p w:rsidR="00BC2053" w:rsidRPr="00BD7ADB" w:rsidRDefault="00BC2053" w:rsidP="00BC2053">
      <w:pPr>
        <w:jc w:val="center"/>
        <w:rPr>
          <w:rFonts w:ascii="Times New Roman" w:hAnsi="Times New Roman" w:cs="Times New Roman"/>
          <w:sz w:val="24"/>
          <w:szCs w:val="24"/>
        </w:rPr>
      </w:pPr>
      <w:r w:rsidRPr="00BD7ADB">
        <w:rPr>
          <w:rFonts w:ascii="Times New Roman" w:hAnsi="Times New Roman" w:cs="Times New Roman"/>
          <w:sz w:val="24"/>
          <w:szCs w:val="24"/>
        </w:rPr>
        <w:t>Calendar Year 2015 Quantitative Goals</w:t>
      </w:r>
    </w:p>
    <w:p w:rsidR="00BC2053" w:rsidRPr="00BD7ADB" w:rsidRDefault="00BC2053" w:rsidP="00BC2053">
      <w:pPr>
        <w:rPr>
          <w:rFonts w:ascii="Times New Roman" w:hAnsi="Times New Roman" w:cs="Times New Roman"/>
          <w:sz w:val="24"/>
          <w:szCs w:val="24"/>
        </w:rPr>
      </w:pPr>
    </w:p>
    <w:tbl>
      <w:tblPr>
        <w:tblStyle w:val="TableGrid"/>
        <w:tblW w:w="0" w:type="auto"/>
        <w:tblInd w:w="-162" w:type="dxa"/>
        <w:tblLook w:val="04A0" w:firstRow="1" w:lastRow="0" w:firstColumn="1" w:lastColumn="0" w:noHBand="0" w:noVBand="1"/>
      </w:tblPr>
      <w:tblGrid>
        <w:gridCol w:w="2880"/>
        <w:gridCol w:w="2661"/>
        <w:gridCol w:w="1972"/>
        <w:gridCol w:w="2225"/>
      </w:tblGrid>
      <w:tr w:rsidR="00BC2053" w:rsidRPr="00BB58DC" w:rsidTr="00BB58DC">
        <w:tc>
          <w:tcPr>
            <w:tcW w:w="2880" w:type="dxa"/>
            <w:shd w:val="clear" w:color="auto" w:fill="FFC000"/>
          </w:tcPr>
          <w:p w:rsidR="00BC2053" w:rsidRPr="00BB58DC" w:rsidRDefault="00BC2053" w:rsidP="00BB58DC">
            <w:pPr>
              <w:jc w:val="center"/>
              <w:rPr>
                <w:rFonts w:cs="Times New Roman"/>
                <w:b/>
                <w:sz w:val="28"/>
                <w:szCs w:val="28"/>
              </w:rPr>
            </w:pPr>
            <w:r w:rsidRPr="00BB58DC">
              <w:rPr>
                <w:rFonts w:cs="Times New Roman"/>
                <w:b/>
                <w:sz w:val="28"/>
                <w:szCs w:val="28"/>
              </w:rPr>
              <w:t>Agency</w:t>
            </w:r>
          </w:p>
        </w:tc>
        <w:tc>
          <w:tcPr>
            <w:tcW w:w="2661" w:type="dxa"/>
            <w:shd w:val="clear" w:color="auto" w:fill="92D050"/>
          </w:tcPr>
          <w:p w:rsidR="00BC2053" w:rsidRPr="00BB58DC" w:rsidRDefault="00BC2053" w:rsidP="00BB58DC">
            <w:pPr>
              <w:jc w:val="center"/>
              <w:rPr>
                <w:rFonts w:cs="Times New Roman"/>
                <w:b/>
                <w:sz w:val="28"/>
                <w:szCs w:val="28"/>
              </w:rPr>
            </w:pPr>
            <w:r w:rsidRPr="00BB58DC">
              <w:rPr>
                <w:rFonts w:cs="Times New Roman"/>
                <w:b/>
                <w:sz w:val="28"/>
                <w:szCs w:val="28"/>
              </w:rPr>
              <w:t>CY 2015 Goal</w:t>
            </w:r>
          </w:p>
        </w:tc>
        <w:tc>
          <w:tcPr>
            <w:tcW w:w="1972" w:type="dxa"/>
            <w:shd w:val="clear" w:color="auto" w:fill="00B0F0"/>
          </w:tcPr>
          <w:p w:rsidR="00BC2053" w:rsidRPr="00BB58DC" w:rsidRDefault="00BC2053" w:rsidP="00BB58DC">
            <w:pPr>
              <w:jc w:val="center"/>
              <w:rPr>
                <w:rFonts w:cs="Times New Roman"/>
                <w:b/>
                <w:sz w:val="28"/>
                <w:szCs w:val="28"/>
              </w:rPr>
            </w:pPr>
            <w:r w:rsidRPr="00BB58DC">
              <w:rPr>
                <w:rFonts w:cs="Times New Roman"/>
                <w:b/>
                <w:sz w:val="28"/>
                <w:szCs w:val="28"/>
              </w:rPr>
              <w:t>CY 2015 Achieved</w:t>
            </w:r>
          </w:p>
        </w:tc>
        <w:tc>
          <w:tcPr>
            <w:tcW w:w="2225" w:type="dxa"/>
            <w:shd w:val="clear" w:color="auto" w:fill="E5B8B7" w:themeFill="accent2" w:themeFillTint="66"/>
          </w:tcPr>
          <w:p w:rsidR="00BC2053" w:rsidRPr="00BB58DC" w:rsidRDefault="00BC2053" w:rsidP="00BB58DC">
            <w:pPr>
              <w:jc w:val="center"/>
              <w:rPr>
                <w:rFonts w:cs="Times New Roman"/>
                <w:b/>
                <w:sz w:val="28"/>
                <w:szCs w:val="28"/>
              </w:rPr>
            </w:pPr>
            <w:r w:rsidRPr="00BB58DC">
              <w:rPr>
                <w:rFonts w:cs="Times New Roman"/>
                <w:b/>
                <w:sz w:val="28"/>
                <w:szCs w:val="28"/>
              </w:rPr>
              <w:t>CY 2016 Goal</w:t>
            </w:r>
          </w:p>
        </w:tc>
      </w:tr>
      <w:tr w:rsidR="00BC2053" w:rsidRPr="00BB58DC" w:rsidTr="00520CF2">
        <w:tc>
          <w:tcPr>
            <w:tcW w:w="2880" w:type="dxa"/>
          </w:tcPr>
          <w:p w:rsidR="00BC2053" w:rsidRPr="00BB58DC" w:rsidRDefault="00BC2053" w:rsidP="00BB58DC">
            <w:pPr>
              <w:jc w:val="center"/>
              <w:rPr>
                <w:rFonts w:cs="Times New Roman"/>
                <w:sz w:val="28"/>
                <w:szCs w:val="28"/>
              </w:rPr>
            </w:pPr>
            <w:r w:rsidRPr="00BB58DC">
              <w:rPr>
                <w:rFonts w:cs="Times New Roman"/>
                <w:sz w:val="28"/>
                <w:szCs w:val="28"/>
              </w:rPr>
              <w:t>DCOA</w:t>
            </w:r>
          </w:p>
        </w:tc>
        <w:tc>
          <w:tcPr>
            <w:tcW w:w="2661" w:type="dxa"/>
          </w:tcPr>
          <w:p w:rsidR="00BC2053" w:rsidRPr="00BB58DC" w:rsidRDefault="00BC2053" w:rsidP="00BB58DC">
            <w:pPr>
              <w:jc w:val="center"/>
              <w:rPr>
                <w:rFonts w:cs="Times New Roman"/>
                <w:sz w:val="28"/>
                <w:szCs w:val="28"/>
              </w:rPr>
            </w:pPr>
            <w:r w:rsidRPr="00BB58DC">
              <w:rPr>
                <w:rFonts w:cs="Times New Roman"/>
                <w:sz w:val="28"/>
                <w:szCs w:val="28"/>
              </w:rPr>
              <w:t>30</w:t>
            </w:r>
          </w:p>
        </w:tc>
        <w:tc>
          <w:tcPr>
            <w:tcW w:w="1972" w:type="dxa"/>
          </w:tcPr>
          <w:p w:rsidR="00BC2053" w:rsidRPr="00BB58DC" w:rsidRDefault="00BC2053" w:rsidP="00BB58DC">
            <w:pPr>
              <w:jc w:val="center"/>
              <w:rPr>
                <w:rFonts w:cs="Times New Roman"/>
                <w:sz w:val="28"/>
                <w:szCs w:val="28"/>
              </w:rPr>
            </w:pPr>
            <w:r w:rsidRPr="00BB58DC">
              <w:rPr>
                <w:rFonts w:cs="Times New Roman"/>
                <w:sz w:val="28"/>
                <w:szCs w:val="28"/>
              </w:rPr>
              <w:t>37</w:t>
            </w:r>
          </w:p>
        </w:tc>
        <w:tc>
          <w:tcPr>
            <w:tcW w:w="2225" w:type="dxa"/>
          </w:tcPr>
          <w:p w:rsidR="00BC2053" w:rsidRPr="00BB58DC" w:rsidRDefault="00BC2053" w:rsidP="00BB58DC">
            <w:pPr>
              <w:jc w:val="center"/>
              <w:rPr>
                <w:rFonts w:cs="Times New Roman"/>
                <w:sz w:val="28"/>
                <w:szCs w:val="28"/>
              </w:rPr>
            </w:pPr>
            <w:r w:rsidRPr="00BB58DC">
              <w:rPr>
                <w:rFonts w:cs="Times New Roman"/>
                <w:sz w:val="28"/>
                <w:szCs w:val="28"/>
              </w:rPr>
              <w:t>45</w:t>
            </w:r>
          </w:p>
        </w:tc>
      </w:tr>
      <w:tr w:rsidR="00BC2053" w:rsidRPr="00BB58DC" w:rsidTr="00520CF2">
        <w:tc>
          <w:tcPr>
            <w:tcW w:w="2880" w:type="dxa"/>
          </w:tcPr>
          <w:p w:rsidR="00BC2053" w:rsidRPr="00BB58DC" w:rsidRDefault="00BC2053" w:rsidP="00BB58DC">
            <w:pPr>
              <w:jc w:val="center"/>
              <w:rPr>
                <w:rFonts w:cs="Times New Roman"/>
                <w:sz w:val="28"/>
                <w:szCs w:val="28"/>
              </w:rPr>
            </w:pPr>
            <w:r w:rsidRPr="00BB58DC">
              <w:rPr>
                <w:rFonts w:cs="Times New Roman"/>
                <w:sz w:val="28"/>
                <w:szCs w:val="28"/>
              </w:rPr>
              <w:t>DDS</w:t>
            </w:r>
          </w:p>
        </w:tc>
        <w:tc>
          <w:tcPr>
            <w:tcW w:w="2661" w:type="dxa"/>
          </w:tcPr>
          <w:p w:rsidR="00BC2053" w:rsidRPr="00BB58DC" w:rsidRDefault="00BC2053" w:rsidP="00BB58DC">
            <w:pPr>
              <w:jc w:val="center"/>
              <w:rPr>
                <w:rFonts w:cs="Times New Roman"/>
                <w:sz w:val="28"/>
                <w:szCs w:val="28"/>
              </w:rPr>
            </w:pPr>
            <w:r w:rsidRPr="00BB58DC">
              <w:rPr>
                <w:rFonts w:cs="Times New Roman"/>
                <w:sz w:val="28"/>
                <w:szCs w:val="28"/>
              </w:rPr>
              <w:t>5 (residential)</w:t>
            </w:r>
          </w:p>
          <w:p w:rsidR="00BC2053" w:rsidRPr="00BB58DC" w:rsidRDefault="00BC2053" w:rsidP="00BB58DC">
            <w:pPr>
              <w:jc w:val="center"/>
              <w:rPr>
                <w:rFonts w:cs="Times New Roman"/>
                <w:sz w:val="28"/>
                <w:szCs w:val="28"/>
              </w:rPr>
            </w:pPr>
          </w:p>
          <w:p w:rsidR="00BC2053" w:rsidRPr="00BB58DC" w:rsidRDefault="00BC2053" w:rsidP="00BB58DC">
            <w:pPr>
              <w:jc w:val="center"/>
              <w:rPr>
                <w:rFonts w:cs="Times New Roman"/>
                <w:sz w:val="28"/>
                <w:szCs w:val="28"/>
              </w:rPr>
            </w:pPr>
            <w:r w:rsidRPr="00BB58DC">
              <w:rPr>
                <w:rFonts w:cs="Times New Roman"/>
                <w:sz w:val="28"/>
                <w:szCs w:val="28"/>
              </w:rPr>
              <w:t>100 (day)</w:t>
            </w:r>
          </w:p>
        </w:tc>
        <w:tc>
          <w:tcPr>
            <w:tcW w:w="1972" w:type="dxa"/>
          </w:tcPr>
          <w:p w:rsidR="00BC2053" w:rsidRPr="00BB58DC" w:rsidRDefault="00BC2053" w:rsidP="00BB58DC">
            <w:pPr>
              <w:jc w:val="center"/>
              <w:rPr>
                <w:rFonts w:cs="Times New Roman"/>
                <w:sz w:val="28"/>
                <w:szCs w:val="28"/>
              </w:rPr>
            </w:pPr>
            <w:r w:rsidRPr="00BB58DC">
              <w:rPr>
                <w:rFonts w:cs="Times New Roman"/>
                <w:sz w:val="28"/>
                <w:szCs w:val="28"/>
              </w:rPr>
              <w:t>1 (residential)</w:t>
            </w:r>
          </w:p>
          <w:p w:rsidR="00BC2053" w:rsidRPr="00BB58DC" w:rsidRDefault="00BC2053" w:rsidP="00BB58DC">
            <w:pPr>
              <w:jc w:val="center"/>
              <w:rPr>
                <w:rFonts w:cs="Times New Roman"/>
                <w:sz w:val="28"/>
                <w:szCs w:val="28"/>
              </w:rPr>
            </w:pPr>
          </w:p>
          <w:p w:rsidR="00BC2053" w:rsidRPr="00BB58DC" w:rsidRDefault="00BC2053" w:rsidP="00BB58DC">
            <w:pPr>
              <w:jc w:val="center"/>
              <w:rPr>
                <w:rFonts w:cs="Times New Roman"/>
                <w:sz w:val="28"/>
                <w:szCs w:val="28"/>
              </w:rPr>
            </w:pPr>
            <w:r w:rsidRPr="00BB58DC">
              <w:rPr>
                <w:rFonts w:cs="Times New Roman"/>
                <w:sz w:val="28"/>
                <w:szCs w:val="28"/>
              </w:rPr>
              <w:t>203 (day)</w:t>
            </w:r>
          </w:p>
        </w:tc>
        <w:tc>
          <w:tcPr>
            <w:tcW w:w="2225" w:type="dxa"/>
          </w:tcPr>
          <w:p w:rsidR="00BC2053" w:rsidRPr="00BB58DC" w:rsidRDefault="00BC2053" w:rsidP="00BB58DC">
            <w:pPr>
              <w:jc w:val="center"/>
              <w:rPr>
                <w:rFonts w:cs="Times New Roman"/>
                <w:sz w:val="28"/>
                <w:szCs w:val="28"/>
              </w:rPr>
            </w:pPr>
            <w:r w:rsidRPr="00BB58DC">
              <w:rPr>
                <w:rFonts w:cs="Times New Roman"/>
                <w:sz w:val="28"/>
                <w:szCs w:val="28"/>
              </w:rPr>
              <w:t>0 (residential)</w:t>
            </w:r>
          </w:p>
          <w:p w:rsidR="00BC2053" w:rsidRPr="00BB58DC" w:rsidRDefault="00BC2053" w:rsidP="00BB58DC">
            <w:pPr>
              <w:jc w:val="center"/>
              <w:rPr>
                <w:rFonts w:cs="Times New Roman"/>
                <w:sz w:val="28"/>
                <w:szCs w:val="28"/>
              </w:rPr>
            </w:pPr>
          </w:p>
          <w:p w:rsidR="00BC2053" w:rsidRPr="00BB58DC" w:rsidRDefault="00BC2053" w:rsidP="00BB58DC">
            <w:pPr>
              <w:jc w:val="center"/>
              <w:rPr>
                <w:rFonts w:cs="Times New Roman"/>
                <w:sz w:val="28"/>
                <w:szCs w:val="28"/>
              </w:rPr>
            </w:pPr>
            <w:r w:rsidRPr="00BB58DC">
              <w:rPr>
                <w:rFonts w:cs="Times New Roman"/>
                <w:sz w:val="28"/>
                <w:szCs w:val="28"/>
              </w:rPr>
              <w:t>100 (day)</w:t>
            </w:r>
          </w:p>
        </w:tc>
      </w:tr>
      <w:tr w:rsidR="00BC2053" w:rsidRPr="00BB58DC" w:rsidTr="00520CF2">
        <w:tc>
          <w:tcPr>
            <w:tcW w:w="2880" w:type="dxa"/>
          </w:tcPr>
          <w:p w:rsidR="00BC2053" w:rsidRPr="00BB58DC" w:rsidRDefault="00BC2053" w:rsidP="00BB58DC">
            <w:pPr>
              <w:jc w:val="center"/>
              <w:rPr>
                <w:rFonts w:cs="Times New Roman"/>
                <w:sz w:val="28"/>
                <w:szCs w:val="28"/>
              </w:rPr>
            </w:pPr>
            <w:r w:rsidRPr="00BB58DC">
              <w:rPr>
                <w:rFonts w:cs="Times New Roman"/>
                <w:sz w:val="28"/>
                <w:szCs w:val="28"/>
              </w:rPr>
              <w:t>DBH</w:t>
            </w:r>
          </w:p>
        </w:tc>
        <w:tc>
          <w:tcPr>
            <w:tcW w:w="2661" w:type="dxa"/>
          </w:tcPr>
          <w:p w:rsidR="00BC2053" w:rsidRPr="00BB58DC" w:rsidRDefault="00BC2053" w:rsidP="00BB58DC">
            <w:pPr>
              <w:jc w:val="center"/>
              <w:rPr>
                <w:rFonts w:cs="Times New Roman"/>
                <w:sz w:val="28"/>
                <w:szCs w:val="28"/>
              </w:rPr>
            </w:pPr>
            <w:r w:rsidRPr="00BB58DC">
              <w:rPr>
                <w:rFonts w:cs="Times New Roman"/>
                <w:sz w:val="28"/>
                <w:szCs w:val="28"/>
              </w:rPr>
              <w:t>80</w:t>
            </w:r>
          </w:p>
        </w:tc>
        <w:tc>
          <w:tcPr>
            <w:tcW w:w="1972" w:type="dxa"/>
          </w:tcPr>
          <w:p w:rsidR="00BC2053" w:rsidRPr="00BB58DC" w:rsidRDefault="00BC2053" w:rsidP="00BB58DC">
            <w:pPr>
              <w:jc w:val="center"/>
              <w:rPr>
                <w:rFonts w:cs="Times New Roman"/>
                <w:sz w:val="28"/>
                <w:szCs w:val="28"/>
              </w:rPr>
            </w:pPr>
            <w:r w:rsidRPr="00BB58DC">
              <w:rPr>
                <w:rFonts w:cs="Times New Roman"/>
                <w:sz w:val="28"/>
                <w:szCs w:val="28"/>
              </w:rPr>
              <w:t>99</w:t>
            </w:r>
          </w:p>
        </w:tc>
        <w:tc>
          <w:tcPr>
            <w:tcW w:w="2225" w:type="dxa"/>
          </w:tcPr>
          <w:p w:rsidR="00BC2053" w:rsidRPr="00BB58DC" w:rsidRDefault="00BC2053" w:rsidP="00BB58DC">
            <w:pPr>
              <w:jc w:val="center"/>
              <w:rPr>
                <w:rFonts w:cs="Times New Roman"/>
                <w:sz w:val="28"/>
                <w:szCs w:val="28"/>
              </w:rPr>
            </w:pPr>
            <w:r w:rsidRPr="00BB58DC">
              <w:rPr>
                <w:rFonts w:cs="Times New Roman"/>
                <w:sz w:val="28"/>
                <w:szCs w:val="28"/>
              </w:rPr>
              <w:t>70</w:t>
            </w:r>
          </w:p>
        </w:tc>
      </w:tr>
      <w:tr w:rsidR="00BC2053" w:rsidRPr="00BB58DC" w:rsidTr="00520CF2">
        <w:tc>
          <w:tcPr>
            <w:tcW w:w="2880" w:type="dxa"/>
          </w:tcPr>
          <w:p w:rsidR="00BC2053" w:rsidRPr="00BB58DC" w:rsidRDefault="00BC2053" w:rsidP="00BB58DC">
            <w:pPr>
              <w:jc w:val="center"/>
              <w:rPr>
                <w:rFonts w:cs="Times New Roman"/>
                <w:sz w:val="28"/>
                <w:szCs w:val="28"/>
              </w:rPr>
            </w:pPr>
            <w:r w:rsidRPr="00BB58DC">
              <w:rPr>
                <w:rFonts w:cs="Times New Roman"/>
                <w:sz w:val="28"/>
                <w:szCs w:val="28"/>
              </w:rPr>
              <w:t>DHCF</w:t>
            </w:r>
          </w:p>
        </w:tc>
        <w:tc>
          <w:tcPr>
            <w:tcW w:w="2661" w:type="dxa"/>
          </w:tcPr>
          <w:p w:rsidR="00BC2053" w:rsidRPr="00BB58DC" w:rsidRDefault="00BC2053" w:rsidP="00BB58DC">
            <w:pPr>
              <w:jc w:val="center"/>
              <w:rPr>
                <w:rFonts w:cs="Times New Roman"/>
                <w:sz w:val="28"/>
                <w:szCs w:val="28"/>
              </w:rPr>
            </w:pPr>
            <w:r w:rsidRPr="00BB58DC">
              <w:rPr>
                <w:rFonts w:cs="Times New Roman"/>
                <w:sz w:val="28"/>
                <w:szCs w:val="28"/>
              </w:rPr>
              <w:t>20</w:t>
            </w:r>
          </w:p>
        </w:tc>
        <w:tc>
          <w:tcPr>
            <w:tcW w:w="1972" w:type="dxa"/>
          </w:tcPr>
          <w:p w:rsidR="00BC2053" w:rsidRPr="00BB58DC" w:rsidRDefault="00BC2053" w:rsidP="00BB58DC">
            <w:pPr>
              <w:jc w:val="center"/>
              <w:rPr>
                <w:rFonts w:cs="Times New Roman"/>
                <w:sz w:val="28"/>
                <w:szCs w:val="28"/>
              </w:rPr>
            </w:pPr>
            <w:r w:rsidRPr="00BB58DC">
              <w:rPr>
                <w:rFonts w:cs="Times New Roman"/>
                <w:sz w:val="28"/>
                <w:szCs w:val="28"/>
              </w:rPr>
              <w:t>32</w:t>
            </w:r>
          </w:p>
        </w:tc>
        <w:tc>
          <w:tcPr>
            <w:tcW w:w="2225" w:type="dxa"/>
          </w:tcPr>
          <w:p w:rsidR="00BC2053" w:rsidRPr="00BB58DC" w:rsidRDefault="00BC2053" w:rsidP="00BB58DC">
            <w:pPr>
              <w:jc w:val="center"/>
              <w:rPr>
                <w:rFonts w:cs="Times New Roman"/>
                <w:sz w:val="28"/>
                <w:szCs w:val="28"/>
              </w:rPr>
            </w:pPr>
            <w:r w:rsidRPr="00BB58DC">
              <w:rPr>
                <w:rFonts w:cs="Times New Roman"/>
                <w:sz w:val="28"/>
                <w:szCs w:val="28"/>
              </w:rPr>
              <w:t>30</w:t>
            </w:r>
          </w:p>
        </w:tc>
      </w:tr>
    </w:tbl>
    <w:p w:rsidR="00BC2053" w:rsidRPr="00BD7ADB" w:rsidRDefault="00BC2053" w:rsidP="00BC2053">
      <w:pPr>
        <w:jc w:val="center"/>
        <w:rPr>
          <w:rFonts w:ascii="Times New Roman" w:hAnsi="Times New Roman" w:cs="Times New Roman"/>
          <w:sz w:val="24"/>
          <w:szCs w:val="24"/>
        </w:rPr>
      </w:pPr>
    </w:p>
    <w:p w:rsidR="00BC2053" w:rsidRPr="00BC2053" w:rsidRDefault="00BC2053" w:rsidP="00BC2053">
      <w:pPr>
        <w:rPr>
          <w:rFonts w:ascii="Times New Roman" w:hAnsi="Times New Roman" w:cs="Times New Roman"/>
          <w:b/>
          <w:color w:val="C00000"/>
          <w:sz w:val="24"/>
          <w:szCs w:val="24"/>
          <w:u w:val="single"/>
        </w:rPr>
      </w:pPr>
    </w:p>
    <w:sectPr w:rsidR="00BC2053" w:rsidRPr="00BC2053" w:rsidSect="00667C1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CE1" w:rsidRDefault="00A24CE1" w:rsidP="00A604F7">
      <w:pPr>
        <w:spacing w:after="0" w:line="240" w:lineRule="auto"/>
      </w:pPr>
      <w:r>
        <w:separator/>
      </w:r>
    </w:p>
  </w:endnote>
  <w:endnote w:type="continuationSeparator" w:id="0">
    <w:p w:rsidR="00A24CE1" w:rsidRDefault="00A24CE1" w:rsidP="00A6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Roboto-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78" w:rsidRDefault="00944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737919"/>
      <w:docPartObj>
        <w:docPartGallery w:val="Page Numbers (Bottom of Page)"/>
        <w:docPartUnique/>
      </w:docPartObj>
    </w:sdtPr>
    <w:sdtEndPr>
      <w:rPr>
        <w:noProof/>
      </w:rPr>
    </w:sdtEndPr>
    <w:sdtContent>
      <w:p w:rsidR="00EE3000" w:rsidRDefault="00AD4A28">
        <w:pPr>
          <w:pStyle w:val="Footer"/>
          <w:jc w:val="right"/>
        </w:pPr>
        <w:r>
          <w:fldChar w:fldCharType="begin"/>
        </w:r>
        <w:r w:rsidR="00EE3000">
          <w:instrText xml:space="preserve"> PAGE   \* MERGEFORMAT </w:instrText>
        </w:r>
        <w:r>
          <w:fldChar w:fldCharType="separate"/>
        </w:r>
        <w:r w:rsidR="00384E0E">
          <w:rPr>
            <w:noProof/>
          </w:rPr>
          <w:t>9</w:t>
        </w:r>
        <w:r>
          <w:rPr>
            <w:noProof/>
          </w:rPr>
          <w:fldChar w:fldCharType="end"/>
        </w:r>
      </w:p>
    </w:sdtContent>
  </w:sdt>
  <w:p w:rsidR="008516CA" w:rsidRDefault="008516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78" w:rsidRDefault="00944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CE1" w:rsidRDefault="00A24CE1" w:rsidP="00A604F7">
      <w:pPr>
        <w:spacing w:after="0" w:line="240" w:lineRule="auto"/>
      </w:pPr>
      <w:r>
        <w:separator/>
      </w:r>
    </w:p>
  </w:footnote>
  <w:footnote w:type="continuationSeparator" w:id="0">
    <w:p w:rsidR="00A24CE1" w:rsidRDefault="00A24CE1" w:rsidP="00A60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78" w:rsidRDefault="00944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78" w:rsidRDefault="00944E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78" w:rsidRDefault="00944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7503"/>
      </v:shape>
    </w:pict>
  </w:numPicBullet>
  <w:abstractNum w:abstractNumId="0">
    <w:nsid w:val="114A787D"/>
    <w:multiLevelType w:val="hybridMultilevel"/>
    <w:tmpl w:val="3092D5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B3583"/>
    <w:multiLevelType w:val="hybridMultilevel"/>
    <w:tmpl w:val="64A8D7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162BC8"/>
    <w:multiLevelType w:val="hybridMultilevel"/>
    <w:tmpl w:val="4A6EEC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C573C5"/>
    <w:multiLevelType w:val="hybridMultilevel"/>
    <w:tmpl w:val="5BBE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DE4113"/>
    <w:multiLevelType w:val="hybridMultilevel"/>
    <w:tmpl w:val="7B14244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EE2C12"/>
    <w:multiLevelType w:val="hybridMultilevel"/>
    <w:tmpl w:val="95DE00E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B642A95"/>
    <w:multiLevelType w:val="hybridMultilevel"/>
    <w:tmpl w:val="A064A9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8F424F"/>
    <w:multiLevelType w:val="hybridMultilevel"/>
    <w:tmpl w:val="077EA5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CD1A39"/>
    <w:multiLevelType w:val="hybridMultilevel"/>
    <w:tmpl w:val="592A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7A1A94"/>
    <w:multiLevelType w:val="hybridMultilevel"/>
    <w:tmpl w:val="C59434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084ACC"/>
    <w:multiLevelType w:val="hybridMultilevel"/>
    <w:tmpl w:val="9072FF0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7D4362"/>
    <w:multiLevelType w:val="hybridMultilevel"/>
    <w:tmpl w:val="B6ECF6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8"/>
  </w:num>
  <w:num w:numId="3">
    <w:abstractNumId w:val="3"/>
  </w:num>
  <w:num w:numId="4">
    <w:abstractNumId w:val="11"/>
  </w:num>
  <w:num w:numId="5">
    <w:abstractNumId w:val="1"/>
  </w:num>
  <w:num w:numId="6">
    <w:abstractNumId w:val="7"/>
  </w:num>
  <w:num w:numId="7">
    <w:abstractNumId w:val="10"/>
  </w:num>
  <w:num w:numId="8">
    <w:abstractNumId w:val="6"/>
  </w:num>
  <w:num w:numId="9">
    <w:abstractNumId w:val="2"/>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919"/>
    <w:rsid w:val="00005050"/>
    <w:rsid w:val="000159B2"/>
    <w:rsid w:val="00024D35"/>
    <w:rsid w:val="00033DF0"/>
    <w:rsid w:val="00072B68"/>
    <w:rsid w:val="00076277"/>
    <w:rsid w:val="000C4FB9"/>
    <w:rsid w:val="000E24BE"/>
    <w:rsid w:val="00100F5D"/>
    <w:rsid w:val="001706BB"/>
    <w:rsid w:val="001772D1"/>
    <w:rsid w:val="001A08AE"/>
    <w:rsid w:val="001A16A5"/>
    <w:rsid w:val="001B3E27"/>
    <w:rsid w:val="001C57D6"/>
    <w:rsid w:val="001C5B90"/>
    <w:rsid w:val="001D31A8"/>
    <w:rsid w:val="001F4A87"/>
    <w:rsid w:val="002054E8"/>
    <w:rsid w:val="0022780A"/>
    <w:rsid w:val="0025174E"/>
    <w:rsid w:val="002625E5"/>
    <w:rsid w:val="002A576D"/>
    <w:rsid w:val="002B71B6"/>
    <w:rsid w:val="002E1C0E"/>
    <w:rsid w:val="00335D28"/>
    <w:rsid w:val="00377992"/>
    <w:rsid w:val="00384E0E"/>
    <w:rsid w:val="003A11C6"/>
    <w:rsid w:val="003C4594"/>
    <w:rsid w:val="003D2BAA"/>
    <w:rsid w:val="003F1824"/>
    <w:rsid w:val="004539FC"/>
    <w:rsid w:val="00470E54"/>
    <w:rsid w:val="004D43B5"/>
    <w:rsid w:val="004D5F8B"/>
    <w:rsid w:val="004D6C06"/>
    <w:rsid w:val="004F29D7"/>
    <w:rsid w:val="005022DC"/>
    <w:rsid w:val="00557A13"/>
    <w:rsid w:val="005645BA"/>
    <w:rsid w:val="00583EBC"/>
    <w:rsid w:val="00595F5D"/>
    <w:rsid w:val="005A7919"/>
    <w:rsid w:val="005D1FB7"/>
    <w:rsid w:val="005E69CC"/>
    <w:rsid w:val="00624DBB"/>
    <w:rsid w:val="00633BE9"/>
    <w:rsid w:val="00636A8B"/>
    <w:rsid w:val="00667C17"/>
    <w:rsid w:val="00694677"/>
    <w:rsid w:val="00696BFE"/>
    <w:rsid w:val="006B48EB"/>
    <w:rsid w:val="006D753C"/>
    <w:rsid w:val="00706276"/>
    <w:rsid w:val="0074588D"/>
    <w:rsid w:val="00746CC4"/>
    <w:rsid w:val="00772FA1"/>
    <w:rsid w:val="00776016"/>
    <w:rsid w:val="007C24A3"/>
    <w:rsid w:val="007E4B87"/>
    <w:rsid w:val="007E79FA"/>
    <w:rsid w:val="007F6A24"/>
    <w:rsid w:val="007F6BD0"/>
    <w:rsid w:val="00810BBF"/>
    <w:rsid w:val="00822F01"/>
    <w:rsid w:val="008409FC"/>
    <w:rsid w:val="008451C1"/>
    <w:rsid w:val="008516CA"/>
    <w:rsid w:val="008666D0"/>
    <w:rsid w:val="00874218"/>
    <w:rsid w:val="0089653C"/>
    <w:rsid w:val="008D28BA"/>
    <w:rsid w:val="008D2B55"/>
    <w:rsid w:val="00940847"/>
    <w:rsid w:val="00944E78"/>
    <w:rsid w:val="00984D2E"/>
    <w:rsid w:val="00991B5F"/>
    <w:rsid w:val="009F3FEC"/>
    <w:rsid w:val="00A0248A"/>
    <w:rsid w:val="00A21AB0"/>
    <w:rsid w:val="00A22C2B"/>
    <w:rsid w:val="00A24CE1"/>
    <w:rsid w:val="00A37DEF"/>
    <w:rsid w:val="00A54A74"/>
    <w:rsid w:val="00A604F7"/>
    <w:rsid w:val="00AA315D"/>
    <w:rsid w:val="00AA6621"/>
    <w:rsid w:val="00AD4A28"/>
    <w:rsid w:val="00AE37D0"/>
    <w:rsid w:val="00AF7EF7"/>
    <w:rsid w:val="00B17916"/>
    <w:rsid w:val="00B42CF4"/>
    <w:rsid w:val="00B501A6"/>
    <w:rsid w:val="00B51EF2"/>
    <w:rsid w:val="00B65703"/>
    <w:rsid w:val="00B77356"/>
    <w:rsid w:val="00BB58DC"/>
    <w:rsid w:val="00BB61F0"/>
    <w:rsid w:val="00BC2053"/>
    <w:rsid w:val="00BC3565"/>
    <w:rsid w:val="00BC5973"/>
    <w:rsid w:val="00BD12D0"/>
    <w:rsid w:val="00BD7ADB"/>
    <w:rsid w:val="00C0541A"/>
    <w:rsid w:val="00C070C6"/>
    <w:rsid w:val="00C32BEB"/>
    <w:rsid w:val="00C46397"/>
    <w:rsid w:val="00C54257"/>
    <w:rsid w:val="00C5710B"/>
    <w:rsid w:val="00C61E31"/>
    <w:rsid w:val="00C722CD"/>
    <w:rsid w:val="00C817FA"/>
    <w:rsid w:val="00C9413E"/>
    <w:rsid w:val="00CB74C4"/>
    <w:rsid w:val="00D11698"/>
    <w:rsid w:val="00D15EE4"/>
    <w:rsid w:val="00D163EE"/>
    <w:rsid w:val="00D21A00"/>
    <w:rsid w:val="00D807D1"/>
    <w:rsid w:val="00D92755"/>
    <w:rsid w:val="00E04343"/>
    <w:rsid w:val="00E06B08"/>
    <w:rsid w:val="00E1393D"/>
    <w:rsid w:val="00E20C59"/>
    <w:rsid w:val="00E561AC"/>
    <w:rsid w:val="00E70D0A"/>
    <w:rsid w:val="00E7512F"/>
    <w:rsid w:val="00ED5C6D"/>
    <w:rsid w:val="00EE3000"/>
    <w:rsid w:val="00EE425B"/>
    <w:rsid w:val="00EF5E7C"/>
    <w:rsid w:val="00F23429"/>
    <w:rsid w:val="00F27E1E"/>
    <w:rsid w:val="00F37331"/>
    <w:rsid w:val="00F619F5"/>
    <w:rsid w:val="00F82FBA"/>
    <w:rsid w:val="00F84059"/>
    <w:rsid w:val="00FC323A"/>
    <w:rsid w:val="00FD01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04F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604F7"/>
    <w:pPr>
      <w:ind w:left="720"/>
      <w:contextualSpacing/>
    </w:pPr>
  </w:style>
  <w:style w:type="paragraph" w:styleId="Header">
    <w:name w:val="header"/>
    <w:basedOn w:val="Normal"/>
    <w:link w:val="HeaderChar"/>
    <w:uiPriority w:val="99"/>
    <w:unhideWhenUsed/>
    <w:rsid w:val="00A60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4F7"/>
  </w:style>
  <w:style w:type="paragraph" w:styleId="Footer">
    <w:name w:val="footer"/>
    <w:basedOn w:val="Normal"/>
    <w:link w:val="FooterChar"/>
    <w:uiPriority w:val="99"/>
    <w:unhideWhenUsed/>
    <w:rsid w:val="00A60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4F7"/>
  </w:style>
  <w:style w:type="paragraph" w:styleId="BalloonText">
    <w:name w:val="Balloon Text"/>
    <w:basedOn w:val="Normal"/>
    <w:link w:val="BalloonTextChar"/>
    <w:uiPriority w:val="99"/>
    <w:semiHidden/>
    <w:unhideWhenUsed/>
    <w:rsid w:val="00A60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4F7"/>
    <w:rPr>
      <w:rFonts w:ascii="Tahoma" w:hAnsi="Tahoma" w:cs="Tahoma"/>
      <w:sz w:val="16"/>
      <w:szCs w:val="16"/>
    </w:rPr>
  </w:style>
  <w:style w:type="character" w:styleId="CommentReference">
    <w:name w:val="annotation reference"/>
    <w:basedOn w:val="DefaultParagraphFont"/>
    <w:uiPriority w:val="99"/>
    <w:semiHidden/>
    <w:unhideWhenUsed/>
    <w:rsid w:val="00B77356"/>
    <w:rPr>
      <w:sz w:val="16"/>
      <w:szCs w:val="16"/>
    </w:rPr>
  </w:style>
  <w:style w:type="paragraph" w:styleId="CommentText">
    <w:name w:val="annotation text"/>
    <w:basedOn w:val="Normal"/>
    <w:link w:val="CommentTextChar"/>
    <w:uiPriority w:val="99"/>
    <w:semiHidden/>
    <w:unhideWhenUsed/>
    <w:rsid w:val="00B77356"/>
    <w:pPr>
      <w:spacing w:line="240" w:lineRule="auto"/>
    </w:pPr>
    <w:rPr>
      <w:sz w:val="20"/>
      <w:szCs w:val="20"/>
    </w:rPr>
  </w:style>
  <w:style w:type="character" w:customStyle="1" w:styleId="CommentTextChar">
    <w:name w:val="Comment Text Char"/>
    <w:basedOn w:val="DefaultParagraphFont"/>
    <w:link w:val="CommentText"/>
    <w:uiPriority w:val="99"/>
    <w:semiHidden/>
    <w:rsid w:val="00B77356"/>
    <w:rPr>
      <w:sz w:val="20"/>
      <w:szCs w:val="20"/>
    </w:rPr>
  </w:style>
  <w:style w:type="paragraph" w:styleId="CommentSubject">
    <w:name w:val="annotation subject"/>
    <w:basedOn w:val="CommentText"/>
    <w:next w:val="CommentText"/>
    <w:link w:val="CommentSubjectChar"/>
    <w:uiPriority w:val="99"/>
    <w:semiHidden/>
    <w:unhideWhenUsed/>
    <w:rsid w:val="00B77356"/>
    <w:rPr>
      <w:b/>
      <w:bCs/>
    </w:rPr>
  </w:style>
  <w:style w:type="character" w:customStyle="1" w:styleId="CommentSubjectChar">
    <w:name w:val="Comment Subject Char"/>
    <w:basedOn w:val="CommentTextChar"/>
    <w:link w:val="CommentSubject"/>
    <w:uiPriority w:val="99"/>
    <w:semiHidden/>
    <w:rsid w:val="00B77356"/>
    <w:rPr>
      <w:b/>
      <w:bCs/>
      <w:sz w:val="20"/>
      <w:szCs w:val="20"/>
    </w:rPr>
  </w:style>
  <w:style w:type="character" w:styleId="Hyperlink">
    <w:name w:val="Hyperlink"/>
    <w:basedOn w:val="DefaultParagraphFont"/>
    <w:uiPriority w:val="99"/>
    <w:unhideWhenUsed/>
    <w:rsid w:val="00D92755"/>
    <w:rPr>
      <w:color w:val="0000FF" w:themeColor="hyperlink"/>
      <w:u w:val="single"/>
    </w:rPr>
  </w:style>
  <w:style w:type="paragraph" w:styleId="PlainText">
    <w:name w:val="Plain Text"/>
    <w:basedOn w:val="Normal"/>
    <w:link w:val="PlainTextChar"/>
    <w:uiPriority w:val="99"/>
    <w:unhideWhenUsed/>
    <w:rsid w:val="000159B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59B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04F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604F7"/>
    <w:pPr>
      <w:ind w:left="720"/>
      <w:contextualSpacing/>
    </w:pPr>
  </w:style>
  <w:style w:type="paragraph" w:styleId="Header">
    <w:name w:val="header"/>
    <w:basedOn w:val="Normal"/>
    <w:link w:val="HeaderChar"/>
    <w:uiPriority w:val="99"/>
    <w:unhideWhenUsed/>
    <w:rsid w:val="00A60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4F7"/>
  </w:style>
  <w:style w:type="paragraph" w:styleId="Footer">
    <w:name w:val="footer"/>
    <w:basedOn w:val="Normal"/>
    <w:link w:val="FooterChar"/>
    <w:uiPriority w:val="99"/>
    <w:unhideWhenUsed/>
    <w:rsid w:val="00A60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4F7"/>
  </w:style>
  <w:style w:type="paragraph" w:styleId="BalloonText">
    <w:name w:val="Balloon Text"/>
    <w:basedOn w:val="Normal"/>
    <w:link w:val="BalloonTextChar"/>
    <w:uiPriority w:val="99"/>
    <w:semiHidden/>
    <w:unhideWhenUsed/>
    <w:rsid w:val="00A60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4F7"/>
    <w:rPr>
      <w:rFonts w:ascii="Tahoma" w:hAnsi="Tahoma" w:cs="Tahoma"/>
      <w:sz w:val="16"/>
      <w:szCs w:val="16"/>
    </w:rPr>
  </w:style>
  <w:style w:type="character" w:styleId="CommentReference">
    <w:name w:val="annotation reference"/>
    <w:basedOn w:val="DefaultParagraphFont"/>
    <w:uiPriority w:val="99"/>
    <w:semiHidden/>
    <w:unhideWhenUsed/>
    <w:rsid w:val="00B77356"/>
    <w:rPr>
      <w:sz w:val="16"/>
      <w:szCs w:val="16"/>
    </w:rPr>
  </w:style>
  <w:style w:type="paragraph" w:styleId="CommentText">
    <w:name w:val="annotation text"/>
    <w:basedOn w:val="Normal"/>
    <w:link w:val="CommentTextChar"/>
    <w:uiPriority w:val="99"/>
    <w:semiHidden/>
    <w:unhideWhenUsed/>
    <w:rsid w:val="00B77356"/>
    <w:pPr>
      <w:spacing w:line="240" w:lineRule="auto"/>
    </w:pPr>
    <w:rPr>
      <w:sz w:val="20"/>
      <w:szCs w:val="20"/>
    </w:rPr>
  </w:style>
  <w:style w:type="character" w:customStyle="1" w:styleId="CommentTextChar">
    <w:name w:val="Comment Text Char"/>
    <w:basedOn w:val="DefaultParagraphFont"/>
    <w:link w:val="CommentText"/>
    <w:uiPriority w:val="99"/>
    <w:semiHidden/>
    <w:rsid w:val="00B77356"/>
    <w:rPr>
      <w:sz w:val="20"/>
      <w:szCs w:val="20"/>
    </w:rPr>
  </w:style>
  <w:style w:type="paragraph" w:styleId="CommentSubject">
    <w:name w:val="annotation subject"/>
    <w:basedOn w:val="CommentText"/>
    <w:next w:val="CommentText"/>
    <w:link w:val="CommentSubjectChar"/>
    <w:uiPriority w:val="99"/>
    <w:semiHidden/>
    <w:unhideWhenUsed/>
    <w:rsid w:val="00B77356"/>
    <w:rPr>
      <w:b/>
      <w:bCs/>
    </w:rPr>
  </w:style>
  <w:style w:type="character" w:customStyle="1" w:styleId="CommentSubjectChar">
    <w:name w:val="Comment Subject Char"/>
    <w:basedOn w:val="CommentTextChar"/>
    <w:link w:val="CommentSubject"/>
    <w:uiPriority w:val="99"/>
    <w:semiHidden/>
    <w:rsid w:val="00B77356"/>
    <w:rPr>
      <w:b/>
      <w:bCs/>
      <w:sz w:val="20"/>
      <w:szCs w:val="20"/>
    </w:rPr>
  </w:style>
  <w:style w:type="character" w:styleId="Hyperlink">
    <w:name w:val="Hyperlink"/>
    <w:basedOn w:val="DefaultParagraphFont"/>
    <w:uiPriority w:val="99"/>
    <w:unhideWhenUsed/>
    <w:rsid w:val="00D92755"/>
    <w:rPr>
      <w:color w:val="0000FF" w:themeColor="hyperlink"/>
      <w:u w:val="single"/>
    </w:rPr>
  </w:style>
  <w:style w:type="paragraph" w:styleId="PlainText">
    <w:name w:val="Plain Text"/>
    <w:basedOn w:val="Normal"/>
    <w:link w:val="PlainTextChar"/>
    <w:uiPriority w:val="99"/>
    <w:unhideWhenUsed/>
    <w:rsid w:val="000159B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59B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8373">
      <w:bodyDiv w:val="1"/>
      <w:marLeft w:val="0"/>
      <w:marRight w:val="0"/>
      <w:marTop w:val="0"/>
      <w:marBottom w:val="0"/>
      <w:divBdr>
        <w:top w:val="none" w:sz="0" w:space="0" w:color="auto"/>
        <w:left w:val="none" w:sz="0" w:space="0" w:color="auto"/>
        <w:bottom w:val="none" w:sz="0" w:space="0" w:color="auto"/>
        <w:right w:val="none" w:sz="0" w:space="0" w:color="auto"/>
      </w:divBdr>
      <w:divsChild>
        <w:div w:id="907033644">
          <w:marLeft w:val="0"/>
          <w:marRight w:val="0"/>
          <w:marTop w:val="0"/>
          <w:marBottom w:val="0"/>
          <w:divBdr>
            <w:top w:val="none" w:sz="0" w:space="0" w:color="auto"/>
            <w:left w:val="none" w:sz="0" w:space="0" w:color="auto"/>
            <w:bottom w:val="none" w:sz="0" w:space="0" w:color="auto"/>
            <w:right w:val="none" w:sz="0" w:space="0" w:color="auto"/>
          </w:divBdr>
          <w:divsChild>
            <w:div w:id="1401560394">
              <w:marLeft w:val="0"/>
              <w:marRight w:val="0"/>
              <w:marTop w:val="0"/>
              <w:marBottom w:val="0"/>
              <w:divBdr>
                <w:top w:val="none" w:sz="0" w:space="0" w:color="auto"/>
                <w:left w:val="none" w:sz="0" w:space="0" w:color="auto"/>
                <w:bottom w:val="none" w:sz="0" w:space="0" w:color="auto"/>
                <w:right w:val="none" w:sz="0" w:space="0" w:color="auto"/>
              </w:divBdr>
              <w:divsChild>
                <w:div w:id="1040595814">
                  <w:marLeft w:val="0"/>
                  <w:marRight w:val="0"/>
                  <w:marTop w:val="0"/>
                  <w:marBottom w:val="0"/>
                  <w:divBdr>
                    <w:top w:val="none" w:sz="0" w:space="0" w:color="auto"/>
                    <w:left w:val="none" w:sz="0" w:space="0" w:color="auto"/>
                    <w:bottom w:val="none" w:sz="0" w:space="0" w:color="auto"/>
                    <w:right w:val="none" w:sz="0" w:space="0" w:color="auto"/>
                  </w:divBdr>
                  <w:divsChild>
                    <w:div w:id="745028724">
                      <w:marLeft w:val="0"/>
                      <w:marRight w:val="0"/>
                      <w:marTop w:val="0"/>
                      <w:marBottom w:val="0"/>
                      <w:divBdr>
                        <w:top w:val="none" w:sz="0" w:space="0" w:color="auto"/>
                        <w:left w:val="none" w:sz="0" w:space="0" w:color="auto"/>
                        <w:bottom w:val="none" w:sz="0" w:space="0" w:color="auto"/>
                        <w:right w:val="none" w:sz="0" w:space="0" w:color="auto"/>
                      </w:divBdr>
                      <w:divsChild>
                        <w:div w:id="457646340">
                          <w:marLeft w:val="0"/>
                          <w:marRight w:val="0"/>
                          <w:marTop w:val="0"/>
                          <w:marBottom w:val="0"/>
                          <w:divBdr>
                            <w:top w:val="none" w:sz="0" w:space="0" w:color="auto"/>
                            <w:left w:val="none" w:sz="0" w:space="0" w:color="auto"/>
                            <w:bottom w:val="none" w:sz="0" w:space="0" w:color="auto"/>
                            <w:right w:val="none" w:sz="0" w:space="0" w:color="auto"/>
                          </w:divBdr>
                          <w:divsChild>
                            <w:div w:id="754517807">
                              <w:marLeft w:val="0"/>
                              <w:marRight w:val="0"/>
                              <w:marTop w:val="0"/>
                              <w:marBottom w:val="0"/>
                              <w:divBdr>
                                <w:top w:val="none" w:sz="0" w:space="0" w:color="auto"/>
                                <w:left w:val="none" w:sz="0" w:space="0" w:color="auto"/>
                                <w:bottom w:val="none" w:sz="0" w:space="0" w:color="auto"/>
                                <w:right w:val="none" w:sz="0" w:space="0" w:color="auto"/>
                              </w:divBdr>
                              <w:divsChild>
                                <w:div w:id="421531543">
                                  <w:marLeft w:val="0"/>
                                  <w:marRight w:val="0"/>
                                  <w:marTop w:val="0"/>
                                  <w:marBottom w:val="0"/>
                                  <w:divBdr>
                                    <w:top w:val="none" w:sz="0" w:space="0" w:color="auto"/>
                                    <w:left w:val="none" w:sz="0" w:space="0" w:color="auto"/>
                                    <w:bottom w:val="none" w:sz="0" w:space="0" w:color="auto"/>
                                    <w:right w:val="none" w:sz="0" w:space="0" w:color="auto"/>
                                  </w:divBdr>
                                  <w:divsChild>
                                    <w:div w:id="1534230437">
                                      <w:marLeft w:val="0"/>
                                      <w:marRight w:val="0"/>
                                      <w:marTop w:val="0"/>
                                      <w:marBottom w:val="0"/>
                                      <w:divBdr>
                                        <w:top w:val="none" w:sz="0" w:space="0" w:color="auto"/>
                                        <w:left w:val="none" w:sz="0" w:space="0" w:color="auto"/>
                                        <w:bottom w:val="none" w:sz="0" w:space="0" w:color="auto"/>
                                        <w:right w:val="none" w:sz="0" w:space="0" w:color="auto"/>
                                      </w:divBdr>
                                      <w:divsChild>
                                        <w:div w:id="461777091">
                                          <w:marLeft w:val="0"/>
                                          <w:marRight w:val="0"/>
                                          <w:marTop w:val="0"/>
                                          <w:marBottom w:val="0"/>
                                          <w:divBdr>
                                            <w:top w:val="none" w:sz="0" w:space="0" w:color="auto"/>
                                            <w:left w:val="none" w:sz="0" w:space="0" w:color="auto"/>
                                            <w:bottom w:val="none" w:sz="0" w:space="0" w:color="auto"/>
                                            <w:right w:val="none" w:sz="0" w:space="0" w:color="auto"/>
                                          </w:divBdr>
                                          <w:divsChild>
                                            <w:div w:id="389504648">
                                              <w:marLeft w:val="0"/>
                                              <w:marRight w:val="0"/>
                                              <w:marTop w:val="0"/>
                                              <w:marBottom w:val="0"/>
                                              <w:divBdr>
                                                <w:top w:val="none" w:sz="0" w:space="0" w:color="auto"/>
                                                <w:left w:val="none" w:sz="0" w:space="0" w:color="auto"/>
                                                <w:bottom w:val="none" w:sz="0" w:space="0" w:color="auto"/>
                                                <w:right w:val="none" w:sz="0" w:space="0" w:color="auto"/>
                                              </w:divBdr>
                                              <w:divsChild>
                                                <w:div w:id="2048949791">
                                                  <w:marLeft w:val="0"/>
                                                  <w:marRight w:val="0"/>
                                                  <w:marTop w:val="0"/>
                                                  <w:marBottom w:val="0"/>
                                                  <w:divBdr>
                                                    <w:top w:val="none" w:sz="0" w:space="0" w:color="auto"/>
                                                    <w:left w:val="none" w:sz="0" w:space="0" w:color="auto"/>
                                                    <w:bottom w:val="none" w:sz="0" w:space="0" w:color="auto"/>
                                                    <w:right w:val="none" w:sz="0" w:space="0" w:color="auto"/>
                                                  </w:divBdr>
                                                  <w:divsChild>
                                                    <w:div w:id="1310747191">
                                                      <w:marLeft w:val="0"/>
                                                      <w:marRight w:val="0"/>
                                                      <w:marTop w:val="0"/>
                                                      <w:marBottom w:val="0"/>
                                                      <w:divBdr>
                                                        <w:top w:val="none" w:sz="0" w:space="0" w:color="auto"/>
                                                        <w:left w:val="none" w:sz="0" w:space="0" w:color="auto"/>
                                                        <w:bottom w:val="none" w:sz="0" w:space="0" w:color="auto"/>
                                                        <w:right w:val="none" w:sz="0" w:space="0" w:color="auto"/>
                                                      </w:divBdr>
                                                      <w:divsChild>
                                                        <w:div w:id="9980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856985">
      <w:bodyDiv w:val="1"/>
      <w:marLeft w:val="0"/>
      <w:marRight w:val="0"/>
      <w:marTop w:val="0"/>
      <w:marBottom w:val="0"/>
      <w:divBdr>
        <w:top w:val="none" w:sz="0" w:space="0" w:color="auto"/>
        <w:left w:val="none" w:sz="0" w:space="0" w:color="auto"/>
        <w:bottom w:val="none" w:sz="0" w:space="0" w:color="auto"/>
        <w:right w:val="none" w:sz="0" w:space="0" w:color="auto"/>
      </w:divBdr>
    </w:div>
    <w:div w:id="584337747">
      <w:bodyDiv w:val="1"/>
      <w:marLeft w:val="0"/>
      <w:marRight w:val="0"/>
      <w:marTop w:val="0"/>
      <w:marBottom w:val="0"/>
      <w:divBdr>
        <w:top w:val="none" w:sz="0" w:space="0" w:color="auto"/>
        <w:left w:val="none" w:sz="0" w:space="0" w:color="auto"/>
        <w:bottom w:val="none" w:sz="0" w:space="0" w:color="auto"/>
        <w:right w:val="none" w:sz="0" w:space="0" w:color="auto"/>
      </w:divBdr>
      <w:divsChild>
        <w:div w:id="2080903523">
          <w:marLeft w:val="0"/>
          <w:marRight w:val="0"/>
          <w:marTop w:val="0"/>
          <w:marBottom w:val="0"/>
          <w:divBdr>
            <w:top w:val="none" w:sz="0" w:space="0" w:color="auto"/>
            <w:left w:val="none" w:sz="0" w:space="0" w:color="auto"/>
            <w:bottom w:val="none" w:sz="0" w:space="0" w:color="auto"/>
            <w:right w:val="none" w:sz="0" w:space="0" w:color="auto"/>
          </w:divBdr>
          <w:divsChild>
            <w:div w:id="1473984232">
              <w:marLeft w:val="0"/>
              <w:marRight w:val="0"/>
              <w:marTop w:val="0"/>
              <w:marBottom w:val="0"/>
              <w:divBdr>
                <w:top w:val="none" w:sz="0" w:space="0" w:color="auto"/>
                <w:left w:val="none" w:sz="0" w:space="0" w:color="auto"/>
                <w:bottom w:val="none" w:sz="0" w:space="0" w:color="auto"/>
                <w:right w:val="none" w:sz="0" w:space="0" w:color="auto"/>
              </w:divBdr>
              <w:divsChild>
                <w:div w:id="773863193">
                  <w:marLeft w:val="0"/>
                  <w:marRight w:val="0"/>
                  <w:marTop w:val="0"/>
                  <w:marBottom w:val="0"/>
                  <w:divBdr>
                    <w:top w:val="none" w:sz="0" w:space="0" w:color="auto"/>
                    <w:left w:val="none" w:sz="0" w:space="0" w:color="auto"/>
                    <w:bottom w:val="none" w:sz="0" w:space="0" w:color="auto"/>
                    <w:right w:val="none" w:sz="0" w:space="0" w:color="auto"/>
                  </w:divBdr>
                  <w:divsChild>
                    <w:div w:id="1979064830">
                      <w:marLeft w:val="0"/>
                      <w:marRight w:val="0"/>
                      <w:marTop w:val="0"/>
                      <w:marBottom w:val="0"/>
                      <w:divBdr>
                        <w:top w:val="none" w:sz="0" w:space="0" w:color="auto"/>
                        <w:left w:val="none" w:sz="0" w:space="0" w:color="auto"/>
                        <w:bottom w:val="none" w:sz="0" w:space="0" w:color="auto"/>
                        <w:right w:val="none" w:sz="0" w:space="0" w:color="auto"/>
                      </w:divBdr>
                      <w:divsChild>
                        <w:div w:id="1474329775">
                          <w:marLeft w:val="0"/>
                          <w:marRight w:val="0"/>
                          <w:marTop w:val="0"/>
                          <w:marBottom w:val="0"/>
                          <w:divBdr>
                            <w:top w:val="none" w:sz="0" w:space="0" w:color="auto"/>
                            <w:left w:val="none" w:sz="0" w:space="0" w:color="auto"/>
                            <w:bottom w:val="none" w:sz="0" w:space="0" w:color="auto"/>
                            <w:right w:val="none" w:sz="0" w:space="0" w:color="auto"/>
                          </w:divBdr>
                          <w:divsChild>
                            <w:div w:id="711657078">
                              <w:marLeft w:val="0"/>
                              <w:marRight w:val="0"/>
                              <w:marTop w:val="0"/>
                              <w:marBottom w:val="0"/>
                              <w:divBdr>
                                <w:top w:val="none" w:sz="0" w:space="0" w:color="auto"/>
                                <w:left w:val="none" w:sz="0" w:space="0" w:color="auto"/>
                                <w:bottom w:val="none" w:sz="0" w:space="0" w:color="auto"/>
                                <w:right w:val="none" w:sz="0" w:space="0" w:color="auto"/>
                              </w:divBdr>
                              <w:divsChild>
                                <w:div w:id="806821594">
                                  <w:marLeft w:val="0"/>
                                  <w:marRight w:val="0"/>
                                  <w:marTop w:val="0"/>
                                  <w:marBottom w:val="0"/>
                                  <w:divBdr>
                                    <w:top w:val="none" w:sz="0" w:space="0" w:color="auto"/>
                                    <w:left w:val="none" w:sz="0" w:space="0" w:color="auto"/>
                                    <w:bottom w:val="none" w:sz="0" w:space="0" w:color="auto"/>
                                    <w:right w:val="none" w:sz="0" w:space="0" w:color="auto"/>
                                  </w:divBdr>
                                  <w:divsChild>
                                    <w:div w:id="1463693673">
                                      <w:marLeft w:val="0"/>
                                      <w:marRight w:val="0"/>
                                      <w:marTop w:val="0"/>
                                      <w:marBottom w:val="0"/>
                                      <w:divBdr>
                                        <w:top w:val="none" w:sz="0" w:space="0" w:color="auto"/>
                                        <w:left w:val="none" w:sz="0" w:space="0" w:color="auto"/>
                                        <w:bottom w:val="none" w:sz="0" w:space="0" w:color="auto"/>
                                        <w:right w:val="none" w:sz="0" w:space="0" w:color="auto"/>
                                      </w:divBdr>
                                      <w:divsChild>
                                        <w:div w:id="10423015">
                                          <w:marLeft w:val="0"/>
                                          <w:marRight w:val="0"/>
                                          <w:marTop w:val="0"/>
                                          <w:marBottom w:val="0"/>
                                          <w:divBdr>
                                            <w:top w:val="none" w:sz="0" w:space="0" w:color="auto"/>
                                            <w:left w:val="none" w:sz="0" w:space="0" w:color="auto"/>
                                            <w:bottom w:val="none" w:sz="0" w:space="0" w:color="auto"/>
                                            <w:right w:val="none" w:sz="0" w:space="0" w:color="auto"/>
                                          </w:divBdr>
                                          <w:divsChild>
                                            <w:div w:id="822894058">
                                              <w:marLeft w:val="0"/>
                                              <w:marRight w:val="0"/>
                                              <w:marTop w:val="0"/>
                                              <w:marBottom w:val="0"/>
                                              <w:divBdr>
                                                <w:top w:val="none" w:sz="0" w:space="0" w:color="auto"/>
                                                <w:left w:val="none" w:sz="0" w:space="0" w:color="auto"/>
                                                <w:bottom w:val="none" w:sz="0" w:space="0" w:color="auto"/>
                                                <w:right w:val="none" w:sz="0" w:space="0" w:color="auto"/>
                                              </w:divBdr>
                                              <w:divsChild>
                                                <w:div w:id="622658201">
                                                  <w:marLeft w:val="0"/>
                                                  <w:marRight w:val="0"/>
                                                  <w:marTop w:val="0"/>
                                                  <w:marBottom w:val="0"/>
                                                  <w:divBdr>
                                                    <w:top w:val="none" w:sz="0" w:space="0" w:color="auto"/>
                                                    <w:left w:val="none" w:sz="0" w:space="0" w:color="auto"/>
                                                    <w:bottom w:val="none" w:sz="0" w:space="0" w:color="auto"/>
                                                    <w:right w:val="none" w:sz="0" w:space="0" w:color="auto"/>
                                                  </w:divBdr>
                                                  <w:divsChild>
                                                    <w:div w:id="1441335945">
                                                      <w:marLeft w:val="0"/>
                                                      <w:marRight w:val="0"/>
                                                      <w:marTop w:val="0"/>
                                                      <w:marBottom w:val="0"/>
                                                      <w:divBdr>
                                                        <w:top w:val="none" w:sz="0" w:space="0" w:color="auto"/>
                                                        <w:left w:val="none" w:sz="0" w:space="0" w:color="auto"/>
                                                        <w:bottom w:val="none" w:sz="0" w:space="0" w:color="auto"/>
                                                        <w:right w:val="none" w:sz="0" w:space="0" w:color="auto"/>
                                                      </w:divBdr>
                                                      <w:divsChild>
                                                        <w:div w:id="3613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0589770">
      <w:bodyDiv w:val="1"/>
      <w:marLeft w:val="0"/>
      <w:marRight w:val="0"/>
      <w:marTop w:val="0"/>
      <w:marBottom w:val="0"/>
      <w:divBdr>
        <w:top w:val="none" w:sz="0" w:space="0" w:color="auto"/>
        <w:left w:val="none" w:sz="0" w:space="0" w:color="auto"/>
        <w:bottom w:val="none" w:sz="0" w:space="0" w:color="auto"/>
        <w:right w:val="none" w:sz="0" w:space="0" w:color="auto"/>
      </w:divBdr>
      <w:divsChild>
        <w:div w:id="1274552931">
          <w:marLeft w:val="0"/>
          <w:marRight w:val="0"/>
          <w:marTop w:val="0"/>
          <w:marBottom w:val="0"/>
          <w:divBdr>
            <w:top w:val="none" w:sz="0" w:space="0" w:color="auto"/>
            <w:left w:val="none" w:sz="0" w:space="0" w:color="auto"/>
            <w:bottom w:val="none" w:sz="0" w:space="0" w:color="auto"/>
            <w:right w:val="none" w:sz="0" w:space="0" w:color="auto"/>
          </w:divBdr>
          <w:divsChild>
            <w:div w:id="1982534052">
              <w:marLeft w:val="0"/>
              <w:marRight w:val="0"/>
              <w:marTop w:val="0"/>
              <w:marBottom w:val="0"/>
              <w:divBdr>
                <w:top w:val="none" w:sz="0" w:space="0" w:color="auto"/>
                <w:left w:val="none" w:sz="0" w:space="0" w:color="auto"/>
                <w:bottom w:val="none" w:sz="0" w:space="0" w:color="auto"/>
                <w:right w:val="none" w:sz="0" w:space="0" w:color="auto"/>
              </w:divBdr>
              <w:divsChild>
                <w:div w:id="1472089850">
                  <w:marLeft w:val="0"/>
                  <w:marRight w:val="0"/>
                  <w:marTop w:val="0"/>
                  <w:marBottom w:val="0"/>
                  <w:divBdr>
                    <w:top w:val="none" w:sz="0" w:space="0" w:color="auto"/>
                    <w:left w:val="none" w:sz="0" w:space="0" w:color="auto"/>
                    <w:bottom w:val="none" w:sz="0" w:space="0" w:color="auto"/>
                    <w:right w:val="none" w:sz="0" w:space="0" w:color="auto"/>
                  </w:divBdr>
                  <w:divsChild>
                    <w:div w:id="1696539152">
                      <w:marLeft w:val="0"/>
                      <w:marRight w:val="0"/>
                      <w:marTop w:val="0"/>
                      <w:marBottom w:val="0"/>
                      <w:divBdr>
                        <w:top w:val="none" w:sz="0" w:space="0" w:color="auto"/>
                        <w:left w:val="none" w:sz="0" w:space="0" w:color="auto"/>
                        <w:bottom w:val="none" w:sz="0" w:space="0" w:color="auto"/>
                        <w:right w:val="none" w:sz="0" w:space="0" w:color="auto"/>
                      </w:divBdr>
                      <w:divsChild>
                        <w:div w:id="1234394311">
                          <w:marLeft w:val="0"/>
                          <w:marRight w:val="0"/>
                          <w:marTop w:val="0"/>
                          <w:marBottom w:val="0"/>
                          <w:divBdr>
                            <w:top w:val="none" w:sz="0" w:space="0" w:color="auto"/>
                            <w:left w:val="none" w:sz="0" w:space="0" w:color="auto"/>
                            <w:bottom w:val="none" w:sz="0" w:space="0" w:color="auto"/>
                            <w:right w:val="none" w:sz="0" w:space="0" w:color="auto"/>
                          </w:divBdr>
                          <w:divsChild>
                            <w:div w:id="1138494226">
                              <w:marLeft w:val="0"/>
                              <w:marRight w:val="0"/>
                              <w:marTop w:val="0"/>
                              <w:marBottom w:val="0"/>
                              <w:divBdr>
                                <w:top w:val="none" w:sz="0" w:space="0" w:color="auto"/>
                                <w:left w:val="none" w:sz="0" w:space="0" w:color="auto"/>
                                <w:bottom w:val="none" w:sz="0" w:space="0" w:color="auto"/>
                                <w:right w:val="none" w:sz="0" w:space="0" w:color="auto"/>
                              </w:divBdr>
                              <w:divsChild>
                                <w:div w:id="588545498">
                                  <w:marLeft w:val="0"/>
                                  <w:marRight w:val="0"/>
                                  <w:marTop w:val="0"/>
                                  <w:marBottom w:val="0"/>
                                  <w:divBdr>
                                    <w:top w:val="none" w:sz="0" w:space="0" w:color="auto"/>
                                    <w:left w:val="none" w:sz="0" w:space="0" w:color="auto"/>
                                    <w:bottom w:val="none" w:sz="0" w:space="0" w:color="auto"/>
                                    <w:right w:val="none" w:sz="0" w:space="0" w:color="auto"/>
                                  </w:divBdr>
                                  <w:divsChild>
                                    <w:div w:id="1403942588">
                                      <w:marLeft w:val="0"/>
                                      <w:marRight w:val="0"/>
                                      <w:marTop w:val="0"/>
                                      <w:marBottom w:val="0"/>
                                      <w:divBdr>
                                        <w:top w:val="none" w:sz="0" w:space="0" w:color="auto"/>
                                        <w:left w:val="none" w:sz="0" w:space="0" w:color="auto"/>
                                        <w:bottom w:val="none" w:sz="0" w:space="0" w:color="auto"/>
                                        <w:right w:val="none" w:sz="0" w:space="0" w:color="auto"/>
                                      </w:divBdr>
                                      <w:divsChild>
                                        <w:div w:id="745231041">
                                          <w:marLeft w:val="0"/>
                                          <w:marRight w:val="0"/>
                                          <w:marTop w:val="0"/>
                                          <w:marBottom w:val="0"/>
                                          <w:divBdr>
                                            <w:top w:val="none" w:sz="0" w:space="0" w:color="auto"/>
                                            <w:left w:val="none" w:sz="0" w:space="0" w:color="auto"/>
                                            <w:bottom w:val="none" w:sz="0" w:space="0" w:color="auto"/>
                                            <w:right w:val="none" w:sz="0" w:space="0" w:color="auto"/>
                                          </w:divBdr>
                                          <w:divsChild>
                                            <w:div w:id="1676377034">
                                              <w:marLeft w:val="0"/>
                                              <w:marRight w:val="0"/>
                                              <w:marTop w:val="0"/>
                                              <w:marBottom w:val="0"/>
                                              <w:divBdr>
                                                <w:top w:val="none" w:sz="0" w:space="0" w:color="auto"/>
                                                <w:left w:val="none" w:sz="0" w:space="0" w:color="auto"/>
                                                <w:bottom w:val="none" w:sz="0" w:space="0" w:color="auto"/>
                                                <w:right w:val="none" w:sz="0" w:space="0" w:color="auto"/>
                                              </w:divBdr>
                                              <w:divsChild>
                                                <w:div w:id="674839348">
                                                  <w:marLeft w:val="0"/>
                                                  <w:marRight w:val="0"/>
                                                  <w:marTop w:val="0"/>
                                                  <w:marBottom w:val="0"/>
                                                  <w:divBdr>
                                                    <w:top w:val="none" w:sz="0" w:space="0" w:color="auto"/>
                                                    <w:left w:val="none" w:sz="0" w:space="0" w:color="auto"/>
                                                    <w:bottom w:val="none" w:sz="0" w:space="0" w:color="auto"/>
                                                    <w:right w:val="none" w:sz="0" w:space="0" w:color="auto"/>
                                                  </w:divBdr>
                                                  <w:divsChild>
                                                    <w:div w:id="855726965">
                                                      <w:marLeft w:val="0"/>
                                                      <w:marRight w:val="0"/>
                                                      <w:marTop w:val="0"/>
                                                      <w:marBottom w:val="0"/>
                                                      <w:divBdr>
                                                        <w:top w:val="none" w:sz="0" w:space="0" w:color="auto"/>
                                                        <w:left w:val="none" w:sz="0" w:space="0" w:color="auto"/>
                                                        <w:bottom w:val="none" w:sz="0" w:space="0" w:color="auto"/>
                                                        <w:right w:val="none" w:sz="0" w:space="0" w:color="auto"/>
                                                      </w:divBdr>
                                                      <w:divsChild>
                                                        <w:div w:id="2942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odr.dc.gov/page/olmstead-community-integration-plan-dc-one-community-all"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EADDA-7372-46FD-9BA7-63A5627C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3364</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JHUNT</cp:lastModifiedBy>
  <cp:revision>2</cp:revision>
  <cp:lastPrinted>2014-02-06T20:16:00Z</cp:lastPrinted>
  <dcterms:created xsi:type="dcterms:W3CDTF">2016-04-08T18:21:00Z</dcterms:created>
  <dcterms:modified xsi:type="dcterms:W3CDTF">2016-04-08T18:21:00Z</dcterms:modified>
</cp:coreProperties>
</file>